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Ind w:w="108" w:type="dxa"/>
        <w:tblLook w:val="01E0"/>
      </w:tblPr>
      <w:tblGrid>
        <w:gridCol w:w="3208"/>
        <w:gridCol w:w="6170"/>
      </w:tblGrid>
      <w:tr w:rsidR="003C0DF1" w:rsidRPr="00002709" w:rsidTr="0064583E">
        <w:trPr>
          <w:trHeight w:val="736"/>
        </w:trPr>
        <w:tc>
          <w:tcPr>
            <w:tcW w:w="3208" w:type="dxa"/>
          </w:tcPr>
          <w:p w:rsidR="003C0DF1" w:rsidRPr="00002709" w:rsidRDefault="003C0DF1" w:rsidP="0064583E">
            <w:pPr>
              <w:jc w:val="center"/>
              <w:rPr>
                <w:b/>
                <w:sz w:val="26"/>
                <w:szCs w:val="26"/>
              </w:rPr>
            </w:pPr>
            <w:r w:rsidRPr="00002709">
              <w:rPr>
                <w:b/>
                <w:sz w:val="26"/>
                <w:szCs w:val="26"/>
              </w:rPr>
              <w:t>HỘI ĐỒNG NHÂN DÂN</w:t>
            </w:r>
          </w:p>
          <w:p w:rsidR="003C0DF1" w:rsidRPr="00002709" w:rsidRDefault="003C0DF1" w:rsidP="0064583E">
            <w:pPr>
              <w:jc w:val="center"/>
              <w:rPr>
                <w:b/>
                <w:sz w:val="26"/>
                <w:szCs w:val="26"/>
              </w:rPr>
            </w:pPr>
            <w:r>
              <w:rPr>
                <w:b/>
                <w:noProof/>
                <w:sz w:val="26"/>
                <w:szCs w:val="26"/>
              </w:rPr>
              <w:pict>
                <v:line id="_x0000_s1026" style="position:absolute;left:0;text-align:left;z-index:251660288" from="38.45pt,17.3pt" to="92.45pt,17.3pt"/>
              </w:pict>
            </w:r>
            <w:r>
              <w:rPr>
                <w:b/>
                <w:sz w:val="26"/>
                <w:szCs w:val="26"/>
              </w:rPr>
              <w:t>HUYỆN SA THẦY</w:t>
            </w:r>
          </w:p>
        </w:tc>
        <w:tc>
          <w:tcPr>
            <w:tcW w:w="6170" w:type="dxa"/>
          </w:tcPr>
          <w:p w:rsidR="003C0DF1" w:rsidRPr="00002709" w:rsidRDefault="003C0DF1" w:rsidP="0064583E">
            <w:pPr>
              <w:jc w:val="center"/>
              <w:rPr>
                <w:b/>
                <w:sz w:val="26"/>
                <w:szCs w:val="26"/>
              </w:rPr>
            </w:pPr>
            <w:r w:rsidRPr="00002709">
              <w:rPr>
                <w:b/>
                <w:sz w:val="26"/>
                <w:szCs w:val="26"/>
              </w:rPr>
              <w:t>CỘNG H</w:t>
            </w:r>
            <w:r w:rsidRPr="00002709">
              <w:rPr>
                <w:rFonts w:hint="eastAsia"/>
                <w:b/>
                <w:sz w:val="26"/>
                <w:szCs w:val="26"/>
              </w:rPr>
              <w:t>Ò</w:t>
            </w:r>
            <w:r w:rsidRPr="00002709">
              <w:rPr>
                <w:b/>
                <w:sz w:val="26"/>
                <w:szCs w:val="26"/>
              </w:rPr>
              <w:t>A X</w:t>
            </w:r>
            <w:r w:rsidRPr="00002709">
              <w:rPr>
                <w:rFonts w:hint="eastAsia"/>
                <w:b/>
                <w:sz w:val="26"/>
                <w:szCs w:val="26"/>
              </w:rPr>
              <w:t>Ã</w:t>
            </w:r>
            <w:r w:rsidRPr="00002709">
              <w:rPr>
                <w:b/>
                <w:sz w:val="26"/>
                <w:szCs w:val="26"/>
              </w:rPr>
              <w:t xml:space="preserve"> HỘI CHỦ NGHĨA VIỆT </w:t>
            </w:r>
            <w:smartTag w:uri="urn:schemas-microsoft-com:office:smarttags" w:element="place">
              <w:smartTag w:uri="urn:schemas-microsoft-com:office:smarttags" w:element="country-region">
                <w:r w:rsidRPr="00002709">
                  <w:rPr>
                    <w:b/>
                    <w:sz w:val="26"/>
                    <w:szCs w:val="26"/>
                  </w:rPr>
                  <w:t>NAM</w:t>
                </w:r>
              </w:smartTag>
            </w:smartTag>
          </w:p>
          <w:p w:rsidR="003C0DF1" w:rsidRPr="00002709" w:rsidRDefault="003C0DF1" w:rsidP="0064583E">
            <w:pPr>
              <w:jc w:val="center"/>
              <w:rPr>
                <w:b/>
                <w:szCs w:val="28"/>
              </w:rPr>
            </w:pPr>
            <w:r w:rsidRPr="00002709">
              <w:rPr>
                <w:rFonts w:hint="eastAsia"/>
                <w:b/>
                <w:sz w:val="28"/>
                <w:szCs w:val="28"/>
              </w:rPr>
              <w:t>Đ</w:t>
            </w:r>
            <w:r w:rsidRPr="00002709">
              <w:rPr>
                <w:b/>
                <w:sz w:val="28"/>
                <w:szCs w:val="28"/>
              </w:rPr>
              <w:t>ộc lập - Tự do - Hạnh ph</w:t>
            </w:r>
            <w:r w:rsidRPr="00002709">
              <w:rPr>
                <w:rFonts w:hint="eastAsia"/>
                <w:b/>
                <w:sz w:val="28"/>
                <w:szCs w:val="28"/>
              </w:rPr>
              <w:t>ú</w:t>
            </w:r>
            <w:r w:rsidRPr="00002709">
              <w:rPr>
                <w:b/>
                <w:sz w:val="28"/>
                <w:szCs w:val="28"/>
              </w:rPr>
              <w:t>c</w:t>
            </w:r>
          </w:p>
          <w:p w:rsidR="003C0DF1" w:rsidRPr="00002709" w:rsidRDefault="003C0DF1" w:rsidP="0064583E">
            <w:pPr>
              <w:jc w:val="center"/>
              <w:rPr>
                <w:b/>
                <w:sz w:val="26"/>
                <w:szCs w:val="26"/>
              </w:rPr>
            </w:pPr>
            <w:r>
              <w:rPr>
                <w:b/>
                <w:noProof/>
                <w:sz w:val="26"/>
                <w:szCs w:val="26"/>
              </w:rPr>
              <w:pict>
                <v:line id="_x0000_s1027" style="position:absolute;left:0;text-align:left;z-index:251661312" from="63.05pt,1.5pt" to="231.05pt,1.5pt"/>
              </w:pict>
            </w:r>
          </w:p>
        </w:tc>
      </w:tr>
      <w:tr w:rsidR="003C0DF1" w:rsidRPr="003B4038" w:rsidTr="0064583E">
        <w:trPr>
          <w:trHeight w:val="389"/>
        </w:trPr>
        <w:tc>
          <w:tcPr>
            <w:tcW w:w="3208" w:type="dxa"/>
          </w:tcPr>
          <w:p w:rsidR="003C0DF1" w:rsidRPr="003B4038" w:rsidRDefault="003C0DF1" w:rsidP="003C0DF1">
            <w:pPr>
              <w:jc w:val="center"/>
              <w:rPr>
                <w:szCs w:val="28"/>
              </w:rPr>
            </w:pPr>
            <w:r>
              <w:rPr>
                <w:sz w:val="28"/>
                <w:szCs w:val="28"/>
              </w:rPr>
              <w:t>Số: 87</w:t>
            </w:r>
            <w:r w:rsidRPr="003B4038">
              <w:rPr>
                <w:sz w:val="28"/>
                <w:szCs w:val="28"/>
              </w:rPr>
              <w:t>/BC-</w:t>
            </w:r>
            <w:r>
              <w:rPr>
                <w:sz w:val="28"/>
                <w:szCs w:val="28"/>
              </w:rPr>
              <w:t>BPC</w:t>
            </w:r>
          </w:p>
        </w:tc>
        <w:tc>
          <w:tcPr>
            <w:tcW w:w="6170" w:type="dxa"/>
          </w:tcPr>
          <w:p w:rsidR="003C0DF1" w:rsidRPr="003B4038" w:rsidRDefault="003C0DF1" w:rsidP="0064583E">
            <w:pPr>
              <w:jc w:val="center"/>
              <w:rPr>
                <w:b/>
                <w:i/>
                <w:szCs w:val="28"/>
              </w:rPr>
            </w:pPr>
            <w:r w:rsidRPr="003B4038">
              <w:rPr>
                <w:i/>
                <w:iCs/>
                <w:sz w:val="28"/>
                <w:szCs w:val="28"/>
              </w:rPr>
              <w:t>Sa Thầy, ng</w:t>
            </w:r>
            <w:r w:rsidRPr="003B4038">
              <w:rPr>
                <w:rFonts w:hint="eastAsia"/>
                <w:i/>
                <w:iCs/>
                <w:sz w:val="28"/>
                <w:szCs w:val="28"/>
              </w:rPr>
              <w:t>à</w:t>
            </w:r>
            <w:r>
              <w:rPr>
                <w:i/>
                <w:iCs/>
                <w:sz w:val="28"/>
                <w:szCs w:val="28"/>
              </w:rPr>
              <w:t>y 05</w:t>
            </w:r>
            <w:r w:rsidRPr="003B4038">
              <w:rPr>
                <w:i/>
                <w:iCs/>
                <w:sz w:val="28"/>
                <w:szCs w:val="28"/>
              </w:rPr>
              <w:t xml:space="preserve"> th</w:t>
            </w:r>
            <w:r w:rsidRPr="003B4038">
              <w:rPr>
                <w:rFonts w:hint="eastAsia"/>
                <w:i/>
                <w:iCs/>
                <w:sz w:val="28"/>
                <w:szCs w:val="28"/>
              </w:rPr>
              <w:t>á</w:t>
            </w:r>
            <w:r w:rsidRPr="003B4038">
              <w:rPr>
                <w:i/>
                <w:iCs/>
                <w:sz w:val="28"/>
                <w:szCs w:val="28"/>
              </w:rPr>
              <w:t xml:space="preserve">ng </w:t>
            </w:r>
            <w:r>
              <w:rPr>
                <w:i/>
                <w:iCs/>
                <w:sz w:val="28"/>
                <w:szCs w:val="28"/>
              </w:rPr>
              <w:t xml:space="preserve">12 </w:t>
            </w:r>
            <w:r w:rsidRPr="003B4038">
              <w:rPr>
                <w:i/>
                <w:iCs/>
                <w:sz w:val="28"/>
                <w:szCs w:val="28"/>
              </w:rPr>
              <w:t>n</w:t>
            </w:r>
            <w:r w:rsidRPr="003B4038">
              <w:rPr>
                <w:rFonts w:hint="eastAsia"/>
                <w:i/>
                <w:iCs/>
                <w:sz w:val="28"/>
                <w:szCs w:val="28"/>
              </w:rPr>
              <w:t>ă</w:t>
            </w:r>
            <w:r w:rsidRPr="003B4038">
              <w:rPr>
                <w:i/>
                <w:iCs/>
                <w:sz w:val="28"/>
                <w:szCs w:val="28"/>
              </w:rPr>
              <w:t>m 201</w:t>
            </w:r>
            <w:r>
              <w:rPr>
                <w:i/>
                <w:iCs/>
                <w:sz w:val="28"/>
                <w:szCs w:val="28"/>
              </w:rPr>
              <w:t>8</w:t>
            </w:r>
          </w:p>
        </w:tc>
      </w:tr>
    </w:tbl>
    <w:p w:rsidR="003C0DF1" w:rsidRDefault="003C0DF1" w:rsidP="003C0DF1">
      <w:pPr>
        <w:jc w:val="center"/>
        <w:rPr>
          <w:b/>
          <w:color w:val="000000"/>
          <w:sz w:val="28"/>
          <w:szCs w:val="28"/>
          <w:lang w:val="pt-BR"/>
        </w:rPr>
      </w:pPr>
    </w:p>
    <w:p w:rsidR="003C0DF1" w:rsidRPr="003C0DF1" w:rsidRDefault="003C0DF1" w:rsidP="003C0DF1">
      <w:pPr>
        <w:tabs>
          <w:tab w:val="left" w:pos="300"/>
          <w:tab w:val="center" w:pos="4986"/>
        </w:tabs>
        <w:jc w:val="center"/>
        <w:rPr>
          <w:rFonts w:eastAsia="Calibri"/>
          <w:b/>
          <w:color w:val="000000"/>
          <w:sz w:val="28"/>
          <w:szCs w:val="28"/>
        </w:rPr>
      </w:pPr>
      <w:r w:rsidRPr="00F34E80">
        <w:rPr>
          <w:b/>
          <w:color w:val="000000"/>
          <w:sz w:val="28"/>
          <w:szCs w:val="28"/>
          <w:lang w:val="vi-VN"/>
        </w:rPr>
        <w:t>BÁO CÁO</w:t>
      </w:r>
      <w:r>
        <w:rPr>
          <w:b/>
          <w:color w:val="000000"/>
          <w:sz w:val="28"/>
          <w:szCs w:val="28"/>
        </w:rPr>
        <w:t xml:space="preserve"> THẨM TRA</w:t>
      </w:r>
    </w:p>
    <w:p w:rsidR="003C0DF1" w:rsidRDefault="003C0DF1" w:rsidP="003C0DF1">
      <w:pPr>
        <w:jc w:val="center"/>
        <w:rPr>
          <w:b/>
          <w:color w:val="000000"/>
          <w:sz w:val="28"/>
          <w:szCs w:val="28"/>
          <w:lang w:val="pt-BR"/>
        </w:rPr>
      </w:pPr>
      <w:r>
        <w:rPr>
          <w:b/>
          <w:color w:val="000000"/>
          <w:sz w:val="28"/>
          <w:szCs w:val="28"/>
        </w:rPr>
        <w:t>B</w:t>
      </w:r>
      <w:r w:rsidRPr="00F34E80">
        <w:rPr>
          <w:b/>
          <w:color w:val="000000"/>
          <w:sz w:val="28"/>
          <w:szCs w:val="28"/>
          <w:lang w:val="vi-VN"/>
        </w:rPr>
        <w:t xml:space="preserve">áo cáo </w:t>
      </w:r>
      <w:r w:rsidRPr="00F34E80">
        <w:rPr>
          <w:b/>
          <w:color w:val="000000"/>
          <w:sz w:val="28"/>
          <w:szCs w:val="28"/>
          <w:lang w:val="pt-BR"/>
        </w:rPr>
        <w:t>công tác thanh tra, kiểm tra</w:t>
      </w:r>
      <w:r>
        <w:rPr>
          <w:b/>
          <w:color w:val="000000"/>
          <w:sz w:val="28"/>
          <w:szCs w:val="28"/>
          <w:lang w:val="pt-BR"/>
        </w:rPr>
        <w:t>,</w:t>
      </w:r>
      <w:r w:rsidRPr="00F34E80">
        <w:rPr>
          <w:b/>
          <w:color w:val="000000"/>
          <w:sz w:val="28"/>
          <w:szCs w:val="28"/>
          <w:lang w:val="pt-BR"/>
        </w:rPr>
        <w:t xml:space="preserve"> phòng</w:t>
      </w:r>
      <w:r>
        <w:rPr>
          <w:b/>
          <w:color w:val="000000"/>
          <w:sz w:val="28"/>
          <w:szCs w:val="28"/>
          <w:lang w:val="pt-BR"/>
        </w:rPr>
        <w:t>,</w:t>
      </w:r>
      <w:r w:rsidRPr="00F34E80">
        <w:rPr>
          <w:b/>
          <w:color w:val="000000"/>
          <w:sz w:val="28"/>
          <w:szCs w:val="28"/>
          <w:lang w:val="pt-BR"/>
        </w:rPr>
        <w:t xml:space="preserve"> chống tham </w:t>
      </w:r>
      <w:r>
        <w:rPr>
          <w:b/>
          <w:color w:val="000000"/>
          <w:sz w:val="28"/>
          <w:szCs w:val="28"/>
          <w:lang w:val="pt-BR"/>
        </w:rPr>
        <w:t>nhũng n</w:t>
      </w:r>
      <w:r w:rsidRPr="00F34E80">
        <w:rPr>
          <w:b/>
          <w:color w:val="000000"/>
          <w:sz w:val="28"/>
          <w:szCs w:val="28"/>
          <w:lang w:val="pt-BR"/>
        </w:rPr>
        <w:t>ăm</w:t>
      </w:r>
      <w:r>
        <w:rPr>
          <w:b/>
          <w:color w:val="000000"/>
          <w:sz w:val="28"/>
          <w:szCs w:val="28"/>
          <w:lang w:val="pt-BR"/>
        </w:rPr>
        <w:t xml:space="preserve"> 2018</w:t>
      </w:r>
    </w:p>
    <w:p w:rsidR="003C0DF1" w:rsidRPr="00E654E0" w:rsidRDefault="003C0DF1" w:rsidP="003C0DF1">
      <w:pPr>
        <w:jc w:val="center"/>
        <w:rPr>
          <w:b/>
          <w:color w:val="C00000"/>
          <w:sz w:val="26"/>
          <w:szCs w:val="26"/>
          <w:lang w:val="pt-BR"/>
        </w:rPr>
      </w:pPr>
      <w:r w:rsidRPr="00F34E80">
        <w:rPr>
          <w:b/>
          <w:color w:val="000000"/>
          <w:sz w:val="28"/>
          <w:szCs w:val="28"/>
          <w:lang w:val="pt-BR"/>
        </w:rPr>
        <w:t xml:space="preserve"> và phương hướng</w:t>
      </w:r>
      <w:r>
        <w:rPr>
          <w:b/>
          <w:color w:val="000000"/>
          <w:sz w:val="28"/>
          <w:szCs w:val="28"/>
          <w:lang w:val="pt-BR"/>
        </w:rPr>
        <w:t>,</w:t>
      </w:r>
      <w:r w:rsidRPr="00F34E80">
        <w:rPr>
          <w:b/>
          <w:color w:val="000000"/>
          <w:sz w:val="28"/>
          <w:szCs w:val="28"/>
          <w:lang w:val="pt-BR"/>
        </w:rPr>
        <w:t xml:space="preserve"> nhiệm vụ năm 201</w:t>
      </w:r>
      <w:r>
        <w:rPr>
          <w:b/>
          <w:color w:val="000000"/>
          <w:sz w:val="28"/>
          <w:szCs w:val="28"/>
          <w:lang w:val="pt-BR"/>
        </w:rPr>
        <w:t>9</w:t>
      </w:r>
    </w:p>
    <w:p w:rsidR="00FD1D71" w:rsidRDefault="003C0DF1" w:rsidP="00FD1D71">
      <w:pPr>
        <w:jc w:val="both"/>
        <w:rPr>
          <w:b/>
          <w:sz w:val="28"/>
          <w:szCs w:val="28"/>
          <w:lang w:val="pt-BR"/>
        </w:rPr>
      </w:pPr>
      <w:r>
        <w:rPr>
          <w:b/>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13.9pt;margin-top:3.4pt;width:35.7pt;height:0;z-index:251662336" o:connectortype="straight"/>
        </w:pict>
      </w:r>
      <w:r>
        <w:rPr>
          <w:b/>
          <w:sz w:val="28"/>
          <w:szCs w:val="28"/>
          <w:lang w:val="pt-BR"/>
        </w:rPr>
        <w:t xml:space="preserve">       </w:t>
      </w:r>
    </w:p>
    <w:p w:rsidR="00FD1D71" w:rsidRDefault="00FD1D71" w:rsidP="00FD1D71">
      <w:pPr>
        <w:jc w:val="both"/>
        <w:rPr>
          <w:b/>
          <w:sz w:val="28"/>
          <w:szCs w:val="28"/>
          <w:lang w:val="pt-BR"/>
        </w:rPr>
      </w:pPr>
    </w:p>
    <w:p w:rsidR="00FD1D71" w:rsidRDefault="003C0DF1" w:rsidP="00FD1D71">
      <w:pPr>
        <w:spacing w:before="120" w:after="120"/>
        <w:ind w:firstLine="709"/>
        <w:jc w:val="both"/>
        <w:rPr>
          <w:b/>
          <w:sz w:val="28"/>
          <w:szCs w:val="28"/>
          <w:lang w:val="pt-BR"/>
        </w:rPr>
      </w:pPr>
      <w:r>
        <w:rPr>
          <w:sz w:val="28"/>
          <w:szCs w:val="28"/>
          <w:lang w:val="pt-BR"/>
        </w:rPr>
        <w:t xml:space="preserve">Thực hiện Luật Tổ chức chính quyền địa phương ngày 19/06/2015, Luật hoạt động giám sát của Quốc hội và Hội đồng nhân dân năm 2015, Luật Phòng, chống tham nhũng năm 2005 và phân công của Thường trực Hội đồng nhân dân huyện. Ban Pháp chế họp để thẩm tra Báo cáo số 506/BC-UBND  ngày 14/11/2018  của Ủy ban nhân dân huyện về công tác phòng, chống tham nhũng (PCTN) năm 2018 và phương hướng nhiệm vụ năm 2019. Ban Pháp chế báo cáo Hội đồng nhân dân huyện về kết quả thẩm tra như sau: </w:t>
      </w:r>
    </w:p>
    <w:p w:rsidR="003C0DF1" w:rsidRPr="00C016F5" w:rsidRDefault="003C0DF1" w:rsidP="00FD1D71">
      <w:pPr>
        <w:spacing w:before="120" w:after="120"/>
        <w:ind w:firstLine="709"/>
        <w:jc w:val="both"/>
        <w:rPr>
          <w:b/>
          <w:sz w:val="28"/>
          <w:szCs w:val="28"/>
          <w:lang w:val="pt-BR"/>
        </w:rPr>
      </w:pPr>
      <w:r w:rsidRPr="00C016F5">
        <w:rPr>
          <w:b/>
          <w:sz w:val="28"/>
          <w:szCs w:val="28"/>
          <w:lang w:val="pt-BR"/>
        </w:rPr>
        <w:t>I. MỘT SỐ VẤN ĐỀ CHUNG CỦA BÁO CÁO</w:t>
      </w:r>
    </w:p>
    <w:p w:rsidR="003C0DF1" w:rsidRDefault="003C0DF1" w:rsidP="00FD1D71">
      <w:pPr>
        <w:spacing w:before="120" w:after="120"/>
        <w:ind w:firstLine="709"/>
        <w:jc w:val="both"/>
        <w:rPr>
          <w:sz w:val="28"/>
          <w:szCs w:val="28"/>
          <w:lang w:val="pt-BR"/>
        </w:rPr>
      </w:pPr>
      <w:r>
        <w:rPr>
          <w:sz w:val="28"/>
          <w:szCs w:val="28"/>
          <w:lang w:val="pt-BR"/>
        </w:rPr>
        <w:t>Báo cáo của Ủy ban nhân dân huyện bố cục chặt chẽ, hợp lý; nội dung báo cáo về cơ bản đã phản ánh sát thực tế tình hình công tác năm 2018. Báo cáo đã đi sâu phân tích đánh giá được thực trạng tình hình thực tế tại địa phương, những kết quả đạt được, tồn tại, hạn chế và nguyên nhân của những tồn tại, hạn chế trong công tác phòng chống tham nhũng và dự báo tình hình tham nhũng thời gian đến, đồng thời đề ra phương hướng, nhiệm vụ phù hợp để thực hiện trong năm 2019.</w:t>
      </w:r>
    </w:p>
    <w:p w:rsidR="003C0DF1" w:rsidRDefault="003C0DF1" w:rsidP="00FD1D71">
      <w:pPr>
        <w:tabs>
          <w:tab w:val="left" w:pos="3465"/>
        </w:tabs>
        <w:spacing w:before="120" w:after="120"/>
        <w:ind w:firstLine="709"/>
        <w:jc w:val="both"/>
        <w:rPr>
          <w:b/>
          <w:color w:val="000000"/>
          <w:sz w:val="28"/>
          <w:szCs w:val="28"/>
          <w:lang w:val="vi-VN"/>
        </w:rPr>
      </w:pPr>
      <w:r>
        <w:rPr>
          <w:sz w:val="28"/>
          <w:szCs w:val="28"/>
          <w:lang w:val="pt-BR"/>
        </w:rPr>
        <w:t xml:space="preserve">Năm 2018, Ủy ban nhân dân huyện tiếp tục tăng cường công tác lãnh đạo, chỉ đạo, triển khai thực hiện các biện pháp PCTN. Cải cách thủ tục hành chính được quan tâm chỉ đạo, triển khai, đã giảm rõ rệt thời gian làm thủ tục hành chính trên một số lĩnh vực; công tác thanh tra, giải quyết khiếu nại, tố cáo tăng cường hơn, đã phát hiện nhiều vi phạm, kiến nghị thu hồi nộp ngân sách Nhà nước. </w:t>
      </w:r>
      <w:r>
        <w:rPr>
          <w:color w:val="000000"/>
          <w:sz w:val="28"/>
          <w:szCs w:val="28"/>
          <w:lang w:val="vi-VN"/>
        </w:rPr>
        <w:t>Tuy nhiên, bên cạnh kết quả quan trọng đã đạt được, trong</w:t>
      </w:r>
      <w:r>
        <w:rPr>
          <w:color w:val="000000"/>
          <w:sz w:val="28"/>
          <w:szCs w:val="28"/>
          <w:lang w:val="pt-BR"/>
        </w:rPr>
        <w:t xml:space="preserve"> </w:t>
      </w:r>
      <w:r>
        <w:rPr>
          <w:color w:val="000000"/>
          <w:sz w:val="28"/>
          <w:szCs w:val="28"/>
          <w:lang w:val="vi-VN"/>
        </w:rPr>
        <w:t>năm 201</w:t>
      </w:r>
      <w:r>
        <w:rPr>
          <w:color w:val="000000"/>
          <w:sz w:val="28"/>
          <w:szCs w:val="28"/>
          <w:lang w:val="pt-BR"/>
        </w:rPr>
        <w:t>8</w:t>
      </w:r>
      <w:r>
        <w:rPr>
          <w:color w:val="000000"/>
          <w:sz w:val="28"/>
          <w:szCs w:val="28"/>
          <w:lang w:val="vi-VN"/>
        </w:rPr>
        <w:t xml:space="preserve"> công tác phòng ngừa, phát hiện và xử lý tham nhũng vẫn còn một số hạn chế. Một số biện pháp phòng ngừa tham nhũng hiệu quả nhưng chưa cao và một số đơn vị vẫn có hiện tượng chi sai ngân sách Nhà nước. </w:t>
      </w:r>
    </w:p>
    <w:p w:rsidR="003C0DF1" w:rsidRPr="00C016F5" w:rsidRDefault="00FD1D71" w:rsidP="003C0DF1">
      <w:pPr>
        <w:spacing w:before="120" w:after="120"/>
        <w:ind w:firstLine="709"/>
        <w:jc w:val="both"/>
        <w:rPr>
          <w:b/>
          <w:sz w:val="28"/>
          <w:szCs w:val="28"/>
          <w:lang w:val="pt-BR"/>
        </w:rPr>
      </w:pPr>
      <w:r>
        <w:rPr>
          <w:b/>
          <w:sz w:val="28"/>
          <w:szCs w:val="28"/>
          <w:lang w:val="pt-BR"/>
        </w:rPr>
        <w:t>II. NHỮNG KẾT QUẢ ĐẠT ĐƯỢC</w:t>
      </w:r>
    </w:p>
    <w:p w:rsidR="003C0DF1" w:rsidRDefault="003C0DF1" w:rsidP="003C0DF1">
      <w:pPr>
        <w:tabs>
          <w:tab w:val="left" w:pos="3465"/>
        </w:tabs>
        <w:spacing w:before="120" w:after="120"/>
        <w:ind w:firstLine="709"/>
        <w:jc w:val="both"/>
        <w:rPr>
          <w:sz w:val="28"/>
          <w:szCs w:val="28"/>
          <w:lang w:val="pt-BR"/>
        </w:rPr>
      </w:pPr>
      <w:r>
        <w:rPr>
          <w:sz w:val="28"/>
          <w:szCs w:val="28"/>
          <w:lang w:val="vi-VN"/>
        </w:rPr>
        <w:t xml:space="preserve">Ban Pháp chế cơ bản thống nhất các nội dung </w:t>
      </w:r>
      <w:r>
        <w:rPr>
          <w:sz w:val="28"/>
          <w:szCs w:val="28"/>
          <w:lang w:val="pt-BR"/>
        </w:rPr>
        <w:t>đ</w:t>
      </w:r>
      <w:r>
        <w:rPr>
          <w:sz w:val="28"/>
          <w:szCs w:val="28"/>
          <w:lang w:val="vi-VN"/>
        </w:rPr>
        <w:t xml:space="preserve">ánh giá của Ủy ban nhân dân </w:t>
      </w:r>
      <w:r>
        <w:rPr>
          <w:sz w:val="28"/>
          <w:szCs w:val="28"/>
          <w:lang w:val="pt-BR"/>
        </w:rPr>
        <w:t xml:space="preserve">huyện </w:t>
      </w:r>
      <w:r>
        <w:rPr>
          <w:color w:val="000000"/>
          <w:spacing w:val="-4"/>
          <w:sz w:val="28"/>
          <w:szCs w:val="28"/>
          <w:lang w:val="sv-SE"/>
        </w:rPr>
        <w:t>về c</w:t>
      </w:r>
      <w:r>
        <w:rPr>
          <w:color w:val="000000"/>
          <w:sz w:val="28"/>
          <w:szCs w:val="28"/>
          <w:lang w:val="sv-SE"/>
        </w:rPr>
        <w:t>ông tác phòng, chống tham nhũng trên địa bàn huyện. Trong năm qua, công tác tuyên truyền phổ biến giáo dục pháp luật phòng, chống tham nhũng đã được quan tâm; việc đổi mới tổ chức, cơ chế lãnh đạo, chỉ đạo về phòng, chống tham nhũng được triển khai đồng bộ đã tạo chuyển biến về nhận thức và hành động đ</w:t>
      </w:r>
      <w:r>
        <w:rPr>
          <w:sz w:val="28"/>
          <w:szCs w:val="28"/>
          <w:lang w:val="pt-BR"/>
        </w:rPr>
        <w:t>ộng đáng ghi nhận trong lĩnh vực quản lý Nhà nước</w:t>
      </w:r>
    </w:p>
    <w:p w:rsidR="003C0DF1" w:rsidRPr="00FD1D71" w:rsidRDefault="003C0DF1" w:rsidP="003C0DF1">
      <w:pPr>
        <w:pStyle w:val="NormalWeb"/>
        <w:spacing w:before="120" w:beforeAutospacing="0" w:after="120" w:afterAutospacing="0"/>
        <w:ind w:firstLine="709"/>
        <w:jc w:val="both"/>
        <w:rPr>
          <w:b/>
          <w:bCs/>
          <w:sz w:val="28"/>
          <w:szCs w:val="28"/>
          <w:lang w:val="pt-BR"/>
        </w:rPr>
      </w:pPr>
      <w:r w:rsidRPr="00FD1D71">
        <w:rPr>
          <w:b/>
          <w:bCs/>
          <w:sz w:val="28"/>
          <w:szCs w:val="28"/>
          <w:lang w:val="pt-BR"/>
        </w:rPr>
        <w:t>1.</w:t>
      </w:r>
      <w:r w:rsidRPr="00FD1D71">
        <w:rPr>
          <w:b/>
          <w:sz w:val="28"/>
          <w:szCs w:val="28"/>
          <w:lang w:val="pt-BR"/>
        </w:rPr>
        <w:t xml:space="preserve"> </w:t>
      </w:r>
      <w:r w:rsidRPr="00FD1D71">
        <w:rPr>
          <w:b/>
          <w:bCs/>
          <w:sz w:val="28"/>
          <w:szCs w:val="28"/>
          <w:lang w:val="pt-BR"/>
        </w:rPr>
        <w:t>Việc quán triệt, tuyên truyền, phổ biến chủ trương, chính sách, pháp luật về PCTN</w:t>
      </w:r>
    </w:p>
    <w:p w:rsidR="003C0DF1" w:rsidRDefault="003C0DF1" w:rsidP="003C0DF1">
      <w:pPr>
        <w:widowControl w:val="0"/>
        <w:tabs>
          <w:tab w:val="left" w:pos="3465"/>
        </w:tabs>
        <w:spacing w:before="120" w:after="120"/>
        <w:ind w:firstLine="709"/>
        <w:jc w:val="both"/>
        <w:rPr>
          <w:sz w:val="28"/>
          <w:szCs w:val="28"/>
          <w:lang w:val="vi-VN"/>
        </w:rPr>
      </w:pPr>
      <w:r>
        <w:rPr>
          <w:sz w:val="28"/>
          <w:szCs w:val="28"/>
          <w:lang w:val="pt-BR"/>
        </w:rPr>
        <w:lastRenderedPageBreak/>
        <w:t xml:space="preserve">UBND huyện tiếp tục chỉ đạo, định hướng các cơ quan, đơn vị, các xã nội dung tuyên truyền, phổ biến, giáo dục tập trung vào việc quán triệt, phổ biến </w:t>
      </w:r>
      <w:r>
        <w:rPr>
          <w:bCs/>
          <w:sz w:val="28"/>
          <w:szCs w:val="28"/>
          <w:lang w:val="pt-BR"/>
        </w:rPr>
        <w:t>Nghị quyết Trung ương 4 (khóa XI); Kết luận Hội nghị Trung ương 5 (khóa XI) tăng cường sự lãnh đạo của Đảng đối với công tác PCTN, lãng phí;</w:t>
      </w:r>
      <w:r w:rsidRPr="007A401D">
        <w:rPr>
          <w:sz w:val="28"/>
          <w:szCs w:val="28"/>
          <w:lang w:val="vi-VN"/>
        </w:rPr>
        <w:t xml:space="preserve"> </w:t>
      </w:r>
      <w:r>
        <w:rPr>
          <w:spacing w:val="-4"/>
          <w:sz w:val="28"/>
          <w:szCs w:val="28"/>
          <w:lang w:val="vi-VN"/>
        </w:rPr>
        <w:t xml:space="preserve">Chỉ thị số 05-CT/TW của Bộ Chính trị về </w:t>
      </w:r>
      <w:r>
        <w:rPr>
          <w:i/>
          <w:spacing w:val="-4"/>
          <w:sz w:val="28"/>
          <w:szCs w:val="28"/>
          <w:lang w:val="vi-VN"/>
        </w:rPr>
        <w:t>“Đẩy mạnh học tập và làm theo tư tưởng, đạo đức, phong cách Hồ Chí Minh”</w:t>
      </w:r>
      <w:r>
        <w:rPr>
          <w:spacing w:val="-4"/>
          <w:sz w:val="28"/>
          <w:szCs w:val="28"/>
          <w:lang w:val="vi-VN"/>
        </w:rPr>
        <w:t xml:space="preserve"> với nhiều hình thức phong phú, thích hợp cho từng đối tượng</w:t>
      </w:r>
      <w:r w:rsidRPr="002D1388">
        <w:rPr>
          <w:spacing w:val="-4"/>
          <w:sz w:val="28"/>
          <w:szCs w:val="28"/>
          <w:lang w:val="pt-BR"/>
        </w:rPr>
        <w:t>.</w:t>
      </w:r>
      <w:r w:rsidRPr="004A4DC6">
        <w:rPr>
          <w:sz w:val="20"/>
          <w:szCs w:val="20"/>
          <w:lang w:val="it-IT"/>
        </w:rPr>
        <w:t xml:space="preserve"> </w:t>
      </w:r>
      <w:r w:rsidRPr="004A4DC6">
        <w:rPr>
          <w:sz w:val="28"/>
          <w:szCs w:val="28"/>
          <w:lang w:val="it-IT"/>
        </w:rPr>
        <w:t xml:space="preserve">Kế hoạch số 154/KH-UBND ngày 21/9/2018 về phát huy ưu điểm, khắc phục, khuyết điểm việc triển khai thực hiện Nghị quyết TW 3, khoá X, Kết luận số 21-KL/TW, ngày 25/5/2012 của BCH TW Đảng về Tăng cường sự lãnh đạo của Đảng đối với công tác phòng, chống tham nhũng, lãng phí và thực hành tiết kiệm, chống lãng phí; </w:t>
      </w:r>
      <w:r>
        <w:rPr>
          <w:bCs/>
          <w:sz w:val="28"/>
          <w:szCs w:val="28"/>
          <w:lang w:val="pt-BR"/>
        </w:rPr>
        <w:t xml:space="preserve"> Luật sửa đổi, bổ sung một số điều của Luật PCTN;</w:t>
      </w:r>
      <w:r>
        <w:rPr>
          <w:bCs/>
          <w:spacing w:val="-2"/>
          <w:sz w:val="28"/>
          <w:szCs w:val="28"/>
          <w:lang w:val="pt-BR"/>
        </w:rPr>
        <w:t xml:space="preserve"> các văn bản của Chính phủ, Thủ tướng Chính phủ và các bộ, ngành chức năng quy định chi tiết và hướng dẫn thi hành một số điều của Luật PCTN với nhiều hình thức,</w:t>
      </w:r>
      <w:r>
        <w:rPr>
          <w:sz w:val="28"/>
          <w:szCs w:val="28"/>
          <w:lang w:val="vi-VN"/>
        </w:rPr>
        <w:t xml:space="preserve"> phương pháp thực hiện. Qua đó, đã góp phần nâng cao nhận thức của cán bộ, công chức, viên chức và nhân dân vào quyết tâm PCTN, tăng cường trách nhiệm của cán bộ công chức và nhân dân trong phát hiện, tố cáo hành vi tham nhũng.</w:t>
      </w:r>
    </w:p>
    <w:p w:rsidR="003C0DF1" w:rsidRPr="00FD1D71" w:rsidRDefault="003C0DF1" w:rsidP="003C0DF1">
      <w:pPr>
        <w:pStyle w:val="NormalWeb"/>
        <w:spacing w:before="120" w:beforeAutospacing="0" w:after="120" w:afterAutospacing="0"/>
        <w:ind w:firstLine="709"/>
        <w:jc w:val="both"/>
        <w:rPr>
          <w:b/>
          <w:sz w:val="28"/>
          <w:szCs w:val="28"/>
          <w:lang w:val="pt-BR"/>
        </w:rPr>
      </w:pPr>
      <w:r w:rsidRPr="00FD1D71">
        <w:rPr>
          <w:b/>
          <w:sz w:val="28"/>
          <w:szCs w:val="28"/>
          <w:lang w:val="pt-BR"/>
        </w:rPr>
        <w:t>2. Thực hiện các giải pháp phòng ngừa tham nhũng</w:t>
      </w:r>
    </w:p>
    <w:p w:rsidR="003C0DF1" w:rsidRDefault="003C0DF1" w:rsidP="003C0DF1">
      <w:pPr>
        <w:tabs>
          <w:tab w:val="left" w:pos="3465"/>
        </w:tabs>
        <w:spacing w:before="120" w:after="120"/>
        <w:ind w:firstLine="709"/>
        <w:jc w:val="both"/>
        <w:rPr>
          <w:sz w:val="28"/>
          <w:szCs w:val="28"/>
          <w:lang w:val="vi-VN"/>
        </w:rPr>
      </w:pPr>
      <w:r>
        <w:rPr>
          <w:sz w:val="28"/>
          <w:szCs w:val="28"/>
          <w:lang w:val="vi-VN"/>
        </w:rPr>
        <w:t>Ủy ban nhân dân</w:t>
      </w:r>
      <w:r>
        <w:rPr>
          <w:sz w:val="28"/>
          <w:szCs w:val="28"/>
          <w:lang w:val="pt-BR"/>
        </w:rPr>
        <w:t xml:space="preserve"> huyện </w:t>
      </w:r>
      <w:r>
        <w:rPr>
          <w:sz w:val="28"/>
          <w:szCs w:val="28"/>
          <w:lang w:val="vi-VN"/>
        </w:rPr>
        <w:t>đã ban hành nhiều văn bản</w:t>
      </w:r>
      <w:r>
        <w:rPr>
          <w:sz w:val="28"/>
          <w:szCs w:val="28"/>
          <w:lang w:val="pt-BR"/>
        </w:rPr>
        <w:t xml:space="preserve"> </w:t>
      </w:r>
      <w:r>
        <w:rPr>
          <w:sz w:val="28"/>
          <w:szCs w:val="28"/>
          <w:lang w:val="vi-VN"/>
        </w:rPr>
        <w:t>triển khai thực hiện Luật PCTN và Luật sửa đổi, bổ sung một số điều của Luật PCTN. Các biện pháp PCTN được triển khai đầy đủ, trong đó có biện pháp đạt kết quả tích cực trong phòng ngừa tham nhũng như cải cách thủ tục hành chính, công khai minh bạch hoạt động của cơ quan, tổ chức, đơn vị. Xây dựng, ban hành, thực hiện các chế độ, định mức, tiêu chuẩn; xây dựng và thực hiện quy tắc ứng xử, nộp lại quà tặng của cán bộ,công chức, viên chức; thực hiện chuyển đổi vị trí công tác; thực hiện các quy định về minh bạch tài sản, thu nhập; tăng cường áp dụng khoa học công nghệ trong quản lý điều hành hoạt động của các cơ quan, tổ chức, đơn vị. Qua đó đã từng bước nâng cao nhận thức và trách nhiệm của cán bộ, công chức, viên chức góp phần phòng ngừa, ngăn chặn hành vi tham nhũng, củng cố lòng tin của nhân dân đối với hoạt động PCTN.</w:t>
      </w:r>
    </w:p>
    <w:p w:rsidR="003C0DF1" w:rsidRDefault="003C0DF1" w:rsidP="003C0DF1">
      <w:pPr>
        <w:widowControl w:val="0"/>
        <w:spacing w:before="120" w:after="120"/>
        <w:ind w:firstLine="709"/>
        <w:jc w:val="both"/>
        <w:rPr>
          <w:color w:val="000000"/>
          <w:sz w:val="28"/>
          <w:szCs w:val="28"/>
          <w:lang w:val="pt-BR"/>
        </w:rPr>
      </w:pPr>
      <w:r>
        <w:rPr>
          <w:color w:val="000000"/>
          <w:sz w:val="28"/>
          <w:szCs w:val="28"/>
          <w:lang w:val="pt-BR"/>
        </w:rPr>
        <w:t>Nhìn chung, việc tổ chức thực hiện của các cơ quan, đơn vị đã thực sự mang lại hiệu quả, tạo chuyển biến mạnh mẽ trong giải quyết công việc của các cơ quan, đơn vị, góp phần tích cực trong công tác phòng, chống tham nhũng và tiêu cực</w:t>
      </w:r>
      <w:r>
        <w:rPr>
          <w:sz w:val="28"/>
          <w:szCs w:val="28"/>
          <w:lang w:val="pt-BR"/>
        </w:rPr>
        <w:t>. Trong năm 2018, không có nội dung liên quan đến việc tố cáo gây mất đoàn kết nội bộ trong cơ quan, đơn vị.</w:t>
      </w:r>
    </w:p>
    <w:p w:rsidR="003C0DF1" w:rsidRPr="00FD1D71" w:rsidRDefault="003C0DF1" w:rsidP="003C0DF1">
      <w:pPr>
        <w:spacing w:before="120" w:after="120"/>
        <w:ind w:firstLine="709"/>
        <w:jc w:val="both"/>
        <w:rPr>
          <w:b/>
          <w:color w:val="000000"/>
          <w:sz w:val="28"/>
          <w:szCs w:val="28"/>
          <w:lang w:val="pt-BR"/>
        </w:rPr>
      </w:pPr>
      <w:r w:rsidRPr="00FD1D71">
        <w:rPr>
          <w:b/>
          <w:color w:val="000000"/>
          <w:sz w:val="28"/>
          <w:szCs w:val="28"/>
          <w:lang w:val="pt-BR"/>
        </w:rPr>
        <w:t>3. Kết quả phát hiện và xử lý tham nhũng</w:t>
      </w:r>
    </w:p>
    <w:p w:rsidR="003C0DF1" w:rsidRPr="005C2E87" w:rsidRDefault="003C0DF1" w:rsidP="003C0DF1">
      <w:pPr>
        <w:spacing w:before="120" w:after="120"/>
        <w:ind w:firstLine="709"/>
        <w:jc w:val="both"/>
        <w:rPr>
          <w:color w:val="000000"/>
          <w:sz w:val="28"/>
          <w:szCs w:val="28"/>
          <w:lang w:val="pt-BR"/>
        </w:rPr>
      </w:pPr>
      <w:r w:rsidRPr="002D1388">
        <w:rPr>
          <w:sz w:val="28"/>
          <w:szCs w:val="28"/>
          <w:lang w:val="pt-BR"/>
        </w:rPr>
        <w:t xml:space="preserve">Trong năm 2018, UBND huyện chỉ đạo </w:t>
      </w:r>
      <w:r w:rsidRPr="002D1388">
        <w:rPr>
          <w:bCs/>
          <w:sz w:val="28"/>
          <w:szCs w:val="28"/>
          <w:lang w:val="pt-BR"/>
        </w:rPr>
        <w:t>Thanh tra huyện đã triển khai</w:t>
      </w:r>
      <w:r w:rsidRPr="002D1388">
        <w:rPr>
          <w:sz w:val="28"/>
          <w:szCs w:val="28"/>
          <w:lang w:val="pt-BR"/>
        </w:rPr>
        <w:t xml:space="preserve"> thực hiện 11 cuộc thanh tra hành chính tại các cơ quan, đơn vị (</w:t>
      </w:r>
      <w:r w:rsidRPr="002D1388">
        <w:rPr>
          <w:rFonts w:eastAsia="Batang"/>
          <w:i/>
          <w:sz w:val="28"/>
          <w:szCs w:val="28"/>
          <w:lang w:val="pt-BR" w:eastAsia="ko-KR"/>
        </w:rPr>
        <w:t>trong đó có 01 cuộc</w:t>
      </w:r>
      <w:r w:rsidRPr="002D1388">
        <w:rPr>
          <w:rFonts w:eastAsia="Batang"/>
          <w:i/>
          <w:color w:val="FF0000"/>
          <w:sz w:val="28"/>
          <w:szCs w:val="28"/>
          <w:lang w:val="pt-BR" w:eastAsia="ko-KR"/>
        </w:rPr>
        <w:t xml:space="preserve"> </w:t>
      </w:r>
      <w:r w:rsidRPr="002D1388">
        <w:rPr>
          <w:rFonts w:eastAsia="Batang"/>
          <w:i/>
          <w:sz w:val="28"/>
          <w:szCs w:val="28"/>
          <w:lang w:val="pt-BR" w:eastAsia="ko-KR"/>
        </w:rPr>
        <w:t>thanh tra năm 2017 chuyển qua năm 2018)</w:t>
      </w:r>
      <w:r w:rsidRPr="002D1388">
        <w:rPr>
          <w:rFonts w:eastAsia="Batang"/>
          <w:sz w:val="28"/>
          <w:szCs w:val="28"/>
          <w:lang w:val="pt-BR" w:eastAsia="ko-KR"/>
        </w:rPr>
        <w:t xml:space="preserve"> và 01 cuộc kiểm tra tại 02 đơn vị)</w:t>
      </w:r>
    </w:p>
    <w:p w:rsidR="003C0DF1" w:rsidRPr="002D1388" w:rsidRDefault="003C0DF1" w:rsidP="003C0DF1">
      <w:pPr>
        <w:tabs>
          <w:tab w:val="left" w:pos="6461"/>
        </w:tabs>
        <w:spacing w:before="120" w:after="120"/>
        <w:ind w:firstLine="709"/>
        <w:jc w:val="both"/>
        <w:rPr>
          <w:color w:val="FF0000"/>
          <w:sz w:val="28"/>
          <w:szCs w:val="28"/>
          <w:lang w:val="pt-BR"/>
        </w:rPr>
      </w:pPr>
      <w:r w:rsidRPr="002D1388">
        <w:rPr>
          <w:sz w:val="28"/>
          <w:szCs w:val="28"/>
          <w:lang w:val="pt-BR"/>
        </w:rPr>
        <w:t>Kết quả số cuộc thanh tra đã hoàn thành 09 cuộc; Đang trong thời kỳ thanh tra 02 cuộc.</w:t>
      </w:r>
      <w:r w:rsidRPr="002D1388">
        <w:rPr>
          <w:color w:val="FF0000"/>
          <w:sz w:val="28"/>
          <w:szCs w:val="28"/>
          <w:lang w:val="pt-BR"/>
        </w:rPr>
        <w:t xml:space="preserve"> </w:t>
      </w:r>
    </w:p>
    <w:p w:rsidR="003C0DF1" w:rsidRPr="002D1388" w:rsidRDefault="003C0DF1" w:rsidP="003C0DF1">
      <w:pPr>
        <w:spacing w:before="120" w:after="120"/>
        <w:ind w:firstLine="709"/>
        <w:jc w:val="both"/>
        <w:rPr>
          <w:sz w:val="28"/>
          <w:szCs w:val="28"/>
          <w:lang w:val="pt-BR"/>
        </w:rPr>
      </w:pPr>
      <w:r w:rsidRPr="002D1388">
        <w:rPr>
          <w:sz w:val="28"/>
          <w:szCs w:val="28"/>
          <w:lang w:val="pt-BR"/>
        </w:rPr>
        <w:t>Qua thanh tra, kiểm tra đã phát hiện một số thiếu sót trong</w:t>
      </w:r>
      <w:r w:rsidRPr="002D1388">
        <w:rPr>
          <w:rStyle w:val="apple-converted-space"/>
          <w:sz w:val="28"/>
          <w:szCs w:val="28"/>
          <w:lang w:val="pt-BR"/>
        </w:rPr>
        <w:t> </w:t>
      </w:r>
      <w:r w:rsidRPr="002D1388">
        <w:rPr>
          <w:sz w:val="28"/>
          <w:szCs w:val="28"/>
          <w:lang w:val="pt-BR"/>
        </w:rPr>
        <w:t xml:space="preserve">trong công tác nghiệm thu, thanh toán cho nhà thầu thi công sai đơn giá, khối lượng và chi sai chế </w:t>
      </w:r>
      <w:r w:rsidRPr="002D1388">
        <w:rPr>
          <w:sz w:val="28"/>
          <w:szCs w:val="28"/>
          <w:lang w:val="pt-BR"/>
        </w:rPr>
        <w:lastRenderedPageBreak/>
        <w:t xml:space="preserve">độ thai sản và phụ cấp lâu năm của một số giáo viên; đối với các khoản thu không theo quy định của luật ngân sách... Đã kiến nghị thu hồi nộp ngân sách nhà nước số tiền sai phạm; xử lý hành chính với hình thức kiểm điểm trách nhiệm đối với tập thể và các cá nhân có liên quan. </w:t>
      </w:r>
    </w:p>
    <w:p w:rsidR="003C0DF1" w:rsidRDefault="003C0DF1" w:rsidP="003C0DF1">
      <w:pPr>
        <w:spacing w:before="120" w:after="120"/>
        <w:ind w:firstLine="709"/>
        <w:jc w:val="both"/>
        <w:rPr>
          <w:rFonts w:eastAsia="Batang"/>
          <w:sz w:val="28"/>
          <w:szCs w:val="28"/>
          <w:lang w:val="it-IT" w:eastAsia="ko-KR"/>
        </w:rPr>
      </w:pPr>
      <w:r w:rsidRPr="002D1388">
        <w:rPr>
          <w:sz w:val="28"/>
          <w:szCs w:val="28"/>
          <w:lang w:val="pt-BR"/>
        </w:rPr>
        <w:t xml:space="preserve">Kết quả thu hồi nộp ngân sách nhà nước sau thanh tra: </w:t>
      </w:r>
      <w:r>
        <w:rPr>
          <w:rFonts w:eastAsia="Batang"/>
          <w:sz w:val="28"/>
          <w:szCs w:val="28"/>
          <w:lang w:val="it-IT" w:eastAsia="ko-KR"/>
        </w:rPr>
        <w:t xml:space="preserve">Thu hồi nộp ngân sách nhà nước số tiền </w:t>
      </w:r>
      <w:r w:rsidRPr="002D1388">
        <w:rPr>
          <w:rFonts w:eastAsia="Batang"/>
          <w:sz w:val="28"/>
          <w:szCs w:val="28"/>
          <w:lang w:val="pt-BR" w:eastAsia="ko-KR"/>
        </w:rPr>
        <w:t>414.243.129 đồng</w:t>
      </w:r>
      <w:r>
        <w:rPr>
          <w:rFonts w:eastAsia="Batang"/>
          <w:sz w:val="28"/>
          <w:szCs w:val="28"/>
          <w:lang w:val="it-IT" w:eastAsia="ko-KR"/>
        </w:rPr>
        <w:t xml:space="preserve"> </w:t>
      </w:r>
      <w:r>
        <w:rPr>
          <w:rFonts w:eastAsia="Batang"/>
          <w:i/>
          <w:sz w:val="28"/>
          <w:szCs w:val="28"/>
          <w:lang w:val="it-IT" w:eastAsia="ko-KR"/>
        </w:rPr>
        <w:t>(Bốn trăm mười bốn triệu, hai trăm bốn ba nghìn, một trăm hai chín đồng).</w:t>
      </w:r>
      <w:r>
        <w:rPr>
          <w:rFonts w:eastAsia="Batang"/>
          <w:sz w:val="28"/>
          <w:szCs w:val="28"/>
          <w:lang w:val="it-IT" w:eastAsia="ko-KR"/>
        </w:rPr>
        <w:t xml:space="preserve"> Trong đó: Số tiền đã nộp vào ngân sách nhà nước số tiền 372.980.325 đồng; số tiền còn lại chưa nộp vào ngân sách nhà nước là 42.262.804 đồng.</w:t>
      </w:r>
    </w:p>
    <w:p w:rsidR="003C0DF1" w:rsidRPr="00637D7F" w:rsidRDefault="00FD1D71" w:rsidP="003C0DF1">
      <w:pPr>
        <w:spacing w:before="120" w:after="120"/>
        <w:ind w:firstLine="709"/>
        <w:jc w:val="both"/>
        <w:rPr>
          <w:b/>
          <w:sz w:val="28"/>
          <w:szCs w:val="28"/>
          <w:lang w:val="pt-BR"/>
        </w:rPr>
      </w:pPr>
      <w:r>
        <w:rPr>
          <w:b/>
          <w:sz w:val="28"/>
          <w:szCs w:val="28"/>
          <w:lang w:val="pt-BR"/>
        </w:rPr>
        <w:t>III. VỀ HẠN CHẾ, TỒN TẠI</w:t>
      </w:r>
    </w:p>
    <w:p w:rsidR="003C0DF1" w:rsidRDefault="003C0DF1" w:rsidP="003C0DF1">
      <w:pPr>
        <w:spacing w:before="120" w:after="120"/>
        <w:ind w:firstLine="709"/>
        <w:jc w:val="both"/>
        <w:rPr>
          <w:sz w:val="28"/>
          <w:szCs w:val="28"/>
          <w:lang w:val="af-ZA"/>
        </w:rPr>
      </w:pPr>
      <w:r>
        <w:rPr>
          <w:sz w:val="28"/>
          <w:szCs w:val="28"/>
          <w:lang w:val="af-ZA"/>
        </w:rPr>
        <w:t xml:space="preserve">Ban </w:t>
      </w:r>
      <w:r w:rsidR="00FD1D71">
        <w:rPr>
          <w:sz w:val="28"/>
          <w:szCs w:val="28"/>
          <w:lang w:val="af-ZA"/>
        </w:rPr>
        <w:t>P</w:t>
      </w:r>
      <w:r>
        <w:rPr>
          <w:sz w:val="28"/>
          <w:szCs w:val="28"/>
          <w:lang w:val="af-ZA"/>
        </w:rPr>
        <w:t xml:space="preserve">háp chế HĐND huyện thống nhất với nội dung báo cáo đánh giá về các tồn tại, hạn chế trong công tác thanh tra, kiểm tra,phòng chống tham nhũng của UBND huyện năm 2018. </w:t>
      </w:r>
    </w:p>
    <w:p w:rsidR="003C0DF1" w:rsidRPr="002D1388" w:rsidRDefault="003C0DF1" w:rsidP="003C0DF1">
      <w:pPr>
        <w:spacing w:before="120" w:after="120"/>
        <w:ind w:firstLine="709"/>
        <w:jc w:val="both"/>
        <w:rPr>
          <w:sz w:val="28"/>
          <w:szCs w:val="28"/>
          <w:lang w:val="af-ZA"/>
        </w:rPr>
      </w:pPr>
      <w:r w:rsidRPr="002D1388">
        <w:rPr>
          <w:sz w:val="28"/>
          <w:szCs w:val="28"/>
          <w:lang w:val="af-ZA"/>
        </w:rPr>
        <w:t xml:space="preserve">- Cơ chế để nhân dân tham gia giám sát, nhất là giám sát việc triển khai các chương trình, dự án chưa rõ nên chưa phát huy sức mạnh của nhân dân trong công tác giám sát nhằm phòng ngừa và đấu tranh chống tham nhũng. </w:t>
      </w:r>
    </w:p>
    <w:p w:rsidR="003C0DF1" w:rsidRDefault="003C0DF1" w:rsidP="003C0DF1">
      <w:pPr>
        <w:spacing w:before="120" w:after="120"/>
        <w:ind w:firstLine="709"/>
        <w:jc w:val="both"/>
        <w:rPr>
          <w:sz w:val="28"/>
          <w:szCs w:val="28"/>
          <w:lang w:val="pt-BR"/>
        </w:rPr>
      </w:pPr>
      <w:r>
        <w:rPr>
          <w:sz w:val="28"/>
          <w:szCs w:val="28"/>
          <w:lang w:val="pt-BR"/>
        </w:rPr>
        <w:t>- Công tác tuyên truyền, phổ biến, giáo dục pháp luật về phòng, chống tham nhũng vẫn còn một số hạn chế như thiếu tính hệ thống, thiếu sự gắn kết, phối hợp giữa các cấp, các ngành; nội dung tuyên truyền chưa thật sự hấp dẫn, nhiều nơi thực hiện chưa thường xuyên; chưa có sự tác động làm thay đổi căn bản nhận thức, quan điểm của người dân, doanh nghiệp và cán bộ, công chức, viên chức về tham nhũng; việc tham gia của các tổ chức xã hội, doanh nghiệp và người dân trong công tác phòng, chống tham nhũng vẫn còn hạn chế. Mối quan hệ phối hợp giữa các cấp, các ngành, các tổ chức đoàn thể trong công tác phòng, chống tham nhũng chưa phát huy được vai trò, chưa tạo nên sức mạnh tổng hợp.</w:t>
      </w:r>
    </w:p>
    <w:p w:rsidR="00FD1D71" w:rsidRDefault="00FD1D71" w:rsidP="00FD1D71">
      <w:pPr>
        <w:spacing w:before="120" w:after="120"/>
        <w:ind w:firstLine="709"/>
        <w:jc w:val="both"/>
        <w:rPr>
          <w:b/>
          <w:sz w:val="28"/>
          <w:szCs w:val="28"/>
          <w:lang w:val="pt-BR"/>
        </w:rPr>
      </w:pPr>
      <w:r>
        <w:rPr>
          <w:b/>
          <w:sz w:val="28"/>
          <w:szCs w:val="28"/>
          <w:lang w:val="pt-BR"/>
        </w:rPr>
        <w:t>IV. KIẾN NGHỊ, ĐỀ XUẤT</w:t>
      </w:r>
    </w:p>
    <w:p w:rsidR="003C0DF1" w:rsidRDefault="00FD1D71" w:rsidP="00FD1D71">
      <w:pPr>
        <w:spacing w:before="120" w:after="120"/>
        <w:ind w:firstLine="709"/>
        <w:jc w:val="both"/>
        <w:rPr>
          <w:b/>
          <w:sz w:val="28"/>
          <w:szCs w:val="28"/>
          <w:lang w:val="pt-BR"/>
        </w:rPr>
      </w:pPr>
      <w:r>
        <w:rPr>
          <w:b/>
          <w:sz w:val="28"/>
          <w:szCs w:val="28"/>
          <w:lang w:val="pt-BR"/>
        </w:rPr>
        <w:t xml:space="preserve">1. </w:t>
      </w:r>
      <w:r w:rsidR="003C0DF1">
        <w:rPr>
          <w:b/>
          <w:sz w:val="28"/>
          <w:szCs w:val="28"/>
          <w:lang w:val="pt-BR"/>
        </w:rPr>
        <w:t>Đối với Ủy ban nhân dân huyện</w:t>
      </w:r>
    </w:p>
    <w:p w:rsidR="003C0DF1" w:rsidRDefault="003C0DF1" w:rsidP="003C0DF1">
      <w:pPr>
        <w:spacing w:before="120" w:after="120"/>
        <w:ind w:firstLine="709"/>
        <w:jc w:val="both"/>
        <w:rPr>
          <w:sz w:val="28"/>
          <w:szCs w:val="28"/>
          <w:lang w:val="pt-BR"/>
        </w:rPr>
      </w:pPr>
      <w:r>
        <w:rPr>
          <w:sz w:val="28"/>
          <w:szCs w:val="28"/>
          <w:lang w:val="pt-BR"/>
        </w:rPr>
        <w:t>Bên cạnh các giải pháp có tính chất phòng ngừa như thực hiện công tác tuyên truyền,chuyển đổi vị trí công tác, cải cách hành chính, việc thực hiện công khai minh bạch trong hoạt động của cơ quan...thì UBND huyện cùng Tòa án nhân dân, viện kiểm sát nhân dâ cần tập trung hơn nữa các giải pháp để nâng cao hiệu quả công tác, kịp thời xử lý tin báo, tố giác hành vi tham nhũng và kịp thời phát hiện, xử lý hành vi tham nhũng.</w:t>
      </w:r>
    </w:p>
    <w:p w:rsidR="003C0DF1" w:rsidRDefault="003C0DF1" w:rsidP="003C0DF1">
      <w:pPr>
        <w:spacing w:before="120" w:after="120"/>
        <w:ind w:firstLine="709"/>
        <w:jc w:val="both"/>
        <w:rPr>
          <w:sz w:val="28"/>
          <w:szCs w:val="28"/>
          <w:lang w:val="pt-BR"/>
        </w:rPr>
      </w:pPr>
      <w:r>
        <w:rPr>
          <w:sz w:val="28"/>
          <w:szCs w:val="28"/>
          <w:lang w:val="pt-BR"/>
        </w:rPr>
        <w:t>Tăng cường thanh tra, kiểm tra trách nhiệm người đứng đầu, việc thực hiện công khai minh bạch hoạt động các cơ quan, đơn vị trong thực thi nhiệm vụ nhất là lĩnh vực dễ xảy ra tham nhũng, tiêu cực:đầu tư xây dựng, quản lý đất đai, quản lý tài nguyện rừng, tìa nguyên khoáng sản, tài chính ngân sách...</w:t>
      </w:r>
    </w:p>
    <w:p w:rsidR="003C0DF1" w:rsidRDefault="003C0DF1" w:rsidP="003C0DF1">
      <w:pPr>
        <w:spacing w:before="120" w:after="120"/>
        <w:ind w:firstLine="709"/>
        <w:jc w:val="both"/>
        <w:rPr>
          <w:sz w:val="28"/>
          <w:szCs w:val="28"/>
          <w:lang w:val="pt-BR"/>
        </w:rPr>
      </w:pPr>
      <w:r>
        <w:rPr>
          <w:sz w:val="28"/>
          <w:szCs w:val="28"/>
          <w:lang w:val="pt-BR"/>
        </w:rPr>
        <w:t>Có các giải pháp nhằm phát huy hơn nữa vai trò xã hội và thực hiện tốt công tác kiểm tra nội bộ cơ quan nhằm thực hiện công tác phòng ngừa, đấu tranh phòng chống tham nhũng.</w:t>
      </w:r>
    </w:p>
    <w:p w:rsidR="00FD1D71" w:rsidRDefault="00FD1D71" w:rsidP="003C0DF1">
      <w:pPr>
        <w:spacing w:before="120" w:after="120"/>
        <w:ind w:firstLine="709"/>
        <w:jc w:val="both"/>
        <w:rPr>
          <w:b/>
          <w:sz w:val="28"/>
          <w:szCs w:val="28"/>
          <w:lang w:val="pt-BR"/>
        </w:rPr>
      </w:pPr>
    </w:p>
    <w:p w:rsidR="003C0DF1" w:rsidRDefault="003C0DF1" w:rsidP="003C0DF1">
      <w:pPr>
        <w:spacing w:before="120" w:after="120"/>
        <w:ind w:firstLine="709"/>
        <w:jc w:val="both"/>
        <w:rPr>
          <w:b/>
          <w:sz w:val="28"/>
          <w:szCs w:val="28"/>
          <w:lang w:val="pt-BR"/>
        </w:rPr>
      </w:pPr>
      <w:r>
        <w:rPr>
          <w:b/>
          <w:sz w:val="28"/>
          <w:szCs w:val="28"/>
          <w:lang w:val="pt-BR"/>
        </w:rPr>
        <w:lastRenderedPageBreak/>
        <w:t>2. Đối với Hội đồng nhân dân</w:t>
      </w:r>
    </w:p>
    <w:p w:rsidR="003C0DF1" w:rsidRDefault="003C0DF1" w:rsidP="003C0DF1">
      <w:pPr>
        <w:spacing w:before="120" w:after="120"/>
        <w:ind w:firstLine="709"/>
        <w:jc w:val="both"/>
        <w:rPr>
          <w:color w:val="000000"/>
          <w:spacing w:val="-4"/>
          <w:sz w:val="28"/>
          <w:szCs w:val="28"/>
          <w:lang w:val="sv-SE"/>
        </w:rPr>
      </w:pPr>
      <w:r w:rsidRPr="002D1388">
        <w:rPr>
          <w:sz w:val="28"/>
          <w:szCs w:val="28"/>
          <w:lang w:val="pt-BR"/>
        </w:rPr>
        <w:t>Tăng cường chức năng giám sát hoạt động phòng</w:t>
      </w:r>
      <w:r w:rsidR="00FD1D71">
        <w:rPr>
          <w:sz w:val="28"/>
          <w:szCs w:val="28"/>
          <w:lang w:val="pt-BR"/>
        </w:rPr>
        <w:t>,</w:t>
      </w:r>
      <w:r w:rsidRPr="002D1388">
        <w:rPr>
          <w:sz w:val="28"/>
          <w:szCs w:val="28"/>
          <w:lang w:val="pt-BR"/>
        </w:rPr>
        <w:t xml:space="preserve"> chống tham nhũng trên địa bàn huyện</w:t>
      </w:r>
    </w:p>
    <w:p w:rsidR="003C0DF1" w:rsidRPr="00637D7F" w:rsidRDefault="003C0DF1" w:rsidP="003C0DF1">
      <w:pPr>
        <w:spacing w:before="120" w:after="120"/>
        <w:ind w:firstLine="709"/>
        <w:jc w:val="both"/>
        <w:rPr>
          <w:b/>
          <w:sz w:val="28"/>
          <w:szCs w:val="28"/>
          <w:lang w:val="pt-BR"/>
        </w:rPr>
      </w:pPr>
      <w:r w:rsidRPr="00637D7F">
        <w:rPr>
          <w:b/>
          <w:sz w:val="28"/>
          <w:szCs w:val="28"/>
          <w:lang w:val="pt-BR"/>
        </w:rPr>
        <w:t>V. PHƯƠNG HƯỚNG</w:t>
      </w:r>
      <w:r w:rsidR="00FD1D71">
        <w:rPr>
          <w:b/>
          <w:sz w:val="28"/>
          <w:szCs w:val="28"/>
          <w:lang w:val="pt-BR"/>
        </w:rPr>
        <w:t>,</w:t>
      </w:r>
      <w:r w:rsidRPr="00637D7F">
        <w:rPr>
          <w:b/>
          <w:sz w:val="28"/>
          <w:szCs w:val="28"/>
          <w:lang w:val="pt-BR"/>
        </w:rPr>
        <w:t xml:space="preserve"> NHIỆM VỤ NĂM 2019</w:t>
      </w:r>
    </w:p>
    <w:p w:rsidR="003C0DF1" w:rsidRPr="005208FF" w:rsidRDefault="003C0DF1" w:rsidP="003C0DF1">
      <w:pPr>
        <w:pStyle w:val="msonormalcxspmiddle"/>
        <w:spacing w:before="120" w:beforeAutospacing="0" w:after="120" w:afterAutospacing="0"/>
        <w:ind w:firstLine="709"/>
        <w:contextualSpacing/>
        <w:jc w:val="both"/>
        <w:rPr>
          <w:rStyle w:val="Emphasis"/>
          <w:i w:val="0"/>
          <w:color w:val="C00000"/>
          <w:spacing w:val="-4"/>
          <w:sz w:val="28"/>
          <w:szCs w:val="28"/>
          <w:lang w:val="pt-BR"/>
        </w:rPr>
      </w:pPr>
      <w:r>
        <w:rPr>
          <w:sz w:val="28"/>
          <w:szCs w:val="28"/>
          <w:lang w:val="pt-BR"/>
        </w:rPr>
        <w:t xml:space="preserve">Ban </w:t>
      </w:r>
      <w:r w:rsidR="00FD1D71">
        <w:rPr>
          <w:sz w:val="28"/>
          <w:szCs w:val="28"/>
          <w:lang w:val="pt-BR"/>
        </w:rPr>
        <w:t>P</w:t>
      </w:r>
      <w:r>
        <w:rPr>
          <w:sz w:val="28"/>
          <w:szCs w:val="28"/>
          <w:lang w:val="pt-BR"/>
        </w:rPr>
        <w:t>háp chế HĐND huyện thống nhất với báo cáo của UBND huyện phương hướng nhiệm vụ công tác thanh tra, kiểm tra, phòng chống tham nhũng năm 2018.</w:t>
      </w:r>
    </w:p>
    <w:p w:rsidR="003C0DF1" w:rsidRPr="0036735E" w:rsidRDefault="003C0DF1" w:rsidP="003C0DF1">
      <w:pPr>
        <w:spacing w:before="120" w:after="120"/>
        <w:ind w:firstLine="709"/>
        <w:jc w:val="both"/>
        <w:rPr>
          <w:lang w:val="pt-BR"/>
        </w:rPr>
      </w:pPr>
      <w:r>
        <w:rPr>
          <w:color w:val="000000"/>
          <w:sz w:val="28"/>
          <w:szCs w:val="28"/>
          <w:lang w:val="pt-BR"/>
        </w:rPr>
        <w:t>Trên đây là nội dung báo cáo thẩm tra của Ban pháp chế trình kỳ</w:t>
      </w:r>
      <w:r>
        <w:rPr>
          <w:sz w:val="28"/>
          <w:szCs w:val="28"/>
          <w:lang w:val="pt-BR"/>
        </w:rPr>
        <w:t xml:space="preserve"> họp thứ 7 HĐND huyện khóa X, nhiệm kỳ 2016 -2021, để các vị Đại biểu HĐND huyện có thêm cơ sở xem xét, thảo luận./.</w:t>
      </w:r>
    </w:p>
    <w:p w:rsidR="003C0DF1" w:rsidRDefault="003C0DF1" w:rsidP="003C0DF1">
      <w:pPr>
        <w:jc w:val="center"/>
        <w:rPr>
          <w:b/>
          <w:color w:val="000000"/>
          <w:sz w:val="28"/>
          <w:szCs w:val="28"/>
          <w:lang w:val="pt-BR"/>
        </w:rPr>
      </w:pPr>
    </w:p>
    <w:tbl>
      <w:tblPr>
        <w:tblW w:w="9329" w:type="dxa"/>
        <w:tblInd w:w="108" w:type="dxa"/>
        <w:tblLook w:val="0000"/>
      </w:tblPr>
      <w:tblGrid>
        <w:gridCol w:w="4348"/>
        <w:gridCol w:w="4981"/>
      </w:tblGrid>
      <w:tr w:rsidR="003C0DF1" w:rsidRPr="005432FF" w:rsidTr="0064583E">
        <w:trPr>
          <w:trHeight w:val="1853"/>
        </w:trPr>
        <w:tc>
          <w:tcPr>
            <w:tcW w:w="4348" w:type="dxa"/>
          </w:tcPr>
          <w:p w:rsidR="003C0DF1" w:rsidRPr="00B83991" w:rsidRDefault="003C0DF1" w:rsidP="0064583E">
            <w:pPr>
              <w:rPr>
                <w:iCs/>
                <w:lang w:val="fr-FR"/>
              </w:rPr>
            </w:pPr>
            <w:r w:rsidRPr="00B83991">
              <w:rPr>
                <w:b/>
                <w:bCs/>
                <w:i/>
                <w:lang w:val="fr-FR"/>
              </w:rPr>
              <w:t>Nơi nhận:</w:t>
            </w:r>
          </w:p>
          <w:p w:rsidR="003C0DF1" w:rsidRPr="00B83991" w:rsidRDefault="003C0DF1" w:rsidP="0064583E">
            <w:pPr>
              <w:rPr>
                <w:iCs/>
                <w:lang w:val="fr-FR"/>
              </w:rPr>
            </w:pPr>
            <w:r w:rsidRPr="00B83991">
              <w:rPr>
                <w:iCs/>
                <w:sz w:val="22"/>
                <w:szCs w:val="22"/>
                <w:lang w:val="fr-FR"/>
              </w:rPr>
              <w:t xml:space="preserve">- </w:t>
            </w:r>
            <w:r>
              <w:rPr>
                <w:iCs/>
                <w:sz w:val="22"/>
                <w:szCs w:val="22"/>
                <w:lang w:val="fr-FR"/>
              </w:rPr>
              <w:t>H</w:t>
            </w:r>
            <w:r w:rsidRPr="00B83991">
              <w:rPr>
                <w:iCs/>
                <w:sz w:val="22"/>
                <w:szCs w:val="22"/>
                <w:lang w:val="fr-FR"/>
              </w:rPr>
              <w:t xml:space="preserve">ĐND </w:t>
            </w:r>
            <w:r>
              <w:rPr>
                <w:iCs/>
                <w:sz w:val="22"/>
                <w:szCs w:val="22"/>
                <w:lang w:val="fr-FR"/>
              </w:rPr>
              <w:t>huyện</w:t>
            </w:r>
            <w:r w:rsidRPr="00B83991">
              <w:rPr>
                <w:iCs/>
                <w:sz w:val="22"/>
                <w:szCs w:val="22"/>
                <w:lang w:val="fr-FR"/>
              </w:rPr>
              <w:t>;</w:t>
            </w:r>
          </w:p>
          <w:p w:rsidR="003C0DF1" w:rsidRPr="00510BD9" w:rsidRDefault="003C0DF1" w:rsidP="0064583E">
            <w:pPr>
              <w:rPr>
                <w:iCs/>
                <w:vertAlign w:val="subscript"/>
                <w:lang w:val="fr-FR"/>
              </w:rPr>
            </w:pPr>
            <w:r w:rsidRPr="00B83991">
              <w:rPr>
                <w:iCs/>
                <w:sz w:val="22"/>
                <w:szCs w:val="22"/>
                <w:lang w:val="fr-FR"/>
              </w:rPr>
              <w:t>- Lưu: VT-LT</w:t>
            </w:r>
            <w:r>
              <w:rPr>
                <w:iCs/>
                <w:sz w:val="22"/>
                <w:szCs w:val="22"/>
                <w:lang w:val="fr-FR"/>
              </w:rPr>
              <w:t>, BPC</w:t>
            </w:r>
            <w:r w:rsidRPr="00B83991">
              <w:rPr>
                <w:iCs/>
                <w:sz w:val="22"/>
                <w:szCs w:val="22"/>
                <w:lang w:val="fr-FR"/>
              </w:rPr>
              <w:t xml:space="preserve">. </w:t>
            </w:r>
          </w:p>
        </w:tc>
        <w:tc>
          <w:tcPr>
            <w:tcW w:w="4981" w:type="dxa"/>
          </w:tcPr>
          <w:p w:rsidR="003C0DF1" w:rsidRDefault="003C0DF1" w:rsidP="0064583E">
            <w:pPr>
              <w:jc w:val="center"/>
              <w:rPr>
                <w:b/>
                <w:sz w:val="26"/>
                <w:szCs w:val="26"/>
              </w:rPr>
            </w:pPr>
            <w:r w:rsidRPr="00D163EB">
              <w:rPr>
                <w:b/>
                <w:sz w:val="26"/>
                <w:szCs w:val="26"/>
              </w:rPr>
              <w:t xml:space="preserve">TM. </w:t>
            </w:r>
            <w:r>
              <w:rPr>
                <w:b/>
                <w:sz w:val="26"/>
                <w:szCs w:val="26"/>
              </w:rPr>
              <w:t>BAN PHÁP CHẾ</w:t>
            </w:r>
          </w:p>
          <w:p w:rsidR="003C0DF1" w:rsidRDefault="003C0DF1" w:rsidP="0064583E">
            <w:pPr>
              <w:jc w:val="center"/>
              <w:rPr>
                <w:b/>
                <w:sz w:val="26"/>
                <w:szCs w:val="26"/>
              </w:rPr>
            </w:pPr>
            <w:r>
              <w:rPr>
                <w:b/>
                <w:sz w:val="26"/>
                <w:szCs w:val="26"/>
              </w:rPr>
              <w:t>TRƯỞNG BAN</w:t>
            </w:r>
          </w:p>
          <w:p w:rsidR="003C0DF1" w:rsidRDefault="003C0DF1" w:rsidP="0064583E">
            <w:pPr>
              <w:jc w:val="center"/>
              <w:rPr>
                <w:b/>
                <w:sz w:val="26"/>
                <w:szCs w:val="26"/>
              </w:rPr>
            </w:pPr>
            <w:r>
              <w:rPr>
                <w:b/>
                <w:sz w:val="26"/>
                <w:szCs w:val="26"/>
              </w:rPr>
              <w:t>(Đã ký)</w:t>
            </w:r>
          </w:p>
          <w:p w:rsidR="003C0DF1" w:rsidRDefault="003C0DF1" w:rsidP="0064583E">
            <w:pPr>
              <w:jc w:val="center"/>
              <w:rPr>
                <w:b/>
                <w:sz w:val="26"/>
                <w:szCs w:val="26"/>
              </w:rPr>
            </w:pPr>
          </w:p>
          <w:p w:rsidR="003C0DF1" w:rsidRDefault="003C0DF1" w:rsidP="0064583E">
            <w:pPr>
              <w:jc w:val="center"/>
              <w:rPr>
                <w:b/>
                <w:sz w:val="26"/>
                <w:szCs w:val="26"/>
              </w:rPr>
            </w:pPr>
            <w:r>
              <w:rPr>
                <w:b/>
                <w:sz w:val="26"/>
                <w:szCs w:val="26"/>
              </w:rPr>
              <w:t>Nguyễn Đăng Khoa</w:t>
            </w:r>
          </w:p>
          <w:p w:rsidR="003C0DF1" w:rsidRPr="00407A02" w:rsidRDefault="003C0DF1" w:rsidP="0064583E">
            <w:pPr>
              <w:jc w:val="center"/>
              <w:rPr>
                <w:sz w:val="26"/>
                <w:szCs w:val="26"/>
              </w:rPr>
            </w:pPr>
          </w:p>
        </w:tc>
      </w:tr>
    </w:tbl>
    <w:p w:rsidR="003C0DF1" w:rsidRDefault="003C0DF1" w:rsidP="003C0DF1"/>
    <w:p w:rsidR="003C0DF1" w:rsidRDefault="003C0DF1" w:rsidP="003C0DF1"/>
    <w:p w:rsidR="003C0DF1" w:rsidRDefault="003C0DF1" w:rsidP="003C0DF1"/>
    <w:p w:rsidR="003C0DF1" w:rsidRDefault="003C0DF1" w:rsidP="003C0DF1"/>
    <w:p w:rsidR="00287827" w:rsidRDefault="00287827"/>
    <w:sectPr w:rsidR="00287827" w:rsidSect="00FE33C1">
      <w:footerReference w:type="default" r:id="rId5"/>
      <w:pgSz w:w="11907" w:h="16840" w:code="9"/>
      <w:pgMar w:top="964" w:right="851"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334"/>
      <w:docPartObj>
        <w:docPartGallery w:val="Page Numbers (Bottom of Page)"/>
        <w:docPartUnique/>
      </w:docPartObj>
    </w:sdtPr>
    <w:sdtEndPr/>
    <w:sdtContent>
      <w:p w:rsidR="00B03F29" w:rsidRDefault="00FD1D71">
        <w:pPr>
          <w:pStyle w:val="Footer"/>
          <w:jc w:val="center"/>
        </w:pPr>
        <w:r>
          <w:fldChar w:fldCharType="begin"/>
        </w:r>
        <w:r>
          <w:instrText xml:space="preserve"> PAGE   \* MERGEFORMAT </w:instrText>
        </w:r>
        <w:r>
          <w:fldChar w:fldCharType="separate"/>
        </w:r>
        <w:r>
          <w:rPr>
            <w:noProof/>
          </w:rPr>
          <w:t>4</w:t>
        </w:r>
        <w:r>
          <w:fldChar w:fldCharType="end"/>
        </w:r>
      </w:p>
    </w:sdtContent>
  </w:sdt>
  <w:p w:rsidR="00B03F29" w:rsidRDefault="00FD1D7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16A4B"/>
    <w:multiLevelType w:val="hybridMultilevel"/>
    <w:tmpl w:val="734ED94C"/>
    <w:lvl w:ilvl="0" w:tplc="F7E81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3C0DF1"/>
    <w:rsid w:val="00152F1E"/>
    <w:rsid w:val="00287827"/>
    <w:rsid w:val="003C0DF1"/>
    <w:rsid w:val="009B15FB"/>
    <w:rsid w:val="00FD1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0DF1"/>
    <w:pPr>
      <w:tabs>
        <w:tab w:val="center" w:pos="4680"/>
        <w:tab w:val="right" w:pos="9360"/>
      </w:tabs>
    </w:pPr>
  </w:style>
  <w:style w:type="character" w:customStyle="1" w:styleId="FooterChar">
    <w:name w:val="Footer Char"/>
    <w:basedOn w:val="DefaultParagraphFont"/>
    <w:link w:val="Footer"/>
    <w:uiPriority w:val="99"/>
    <w:rsid w:val="003C0DF1"/>
    <w:rPr>
      <w:rFonts w:ascii="Times New Roman" w:eastAsia="Times New Roman" w:hAnsi="Times New Roman" w:cs="Times New Roman"/>
      <w:sz w:val="24"/>
      <w:szCs w:val="24"/>
    </w:rPr>
  </w:style>
  <w:style w:type="paragraph" w:styleId="NormalWeb">
    <w:name w:val="Normal (Web)"/>
    <w:basedOn w:val="Normal"/>
    <w:rsid w:val="003C0DF1"/>
    <w:pPr>
      <w:spacing w:before="100" w:beforeAutospacing="1" w:after="100" w:afterAutospacing="1"/>
    </w:pPr>
  </w:style>
  <w:style w:type="paragraph" w:styleId="BodyText">
    <w:name w:val="Body Text"/>
    <w:basedOn w:val="Normal"/>
    <w:link w:val="BodyTextChar"/>
    <w:rsid w:val="003C0DF1"/>
    <w:pPr>
      <w:spacing w:after="120"/>
    </w:pPr>
  </w:style>
  <w:style w:type="character" w:customStyle="1" w:styleId="BodyTextChar">
    <w:name w:val="Body Text Char"/>
    <w:basedOn w:val="DefaultParagraphFont"/>
    <w:link w:val="BodyText"/>
    <w:rsid w:val="003C0DF1"/>
    <w:rPr>
      <w:rFonts w:ascii="Times New Roman" w:eastAsia="Times New Roman" w:hAnsi="Times New Roman" w:cs="Times New Roman"/>
      <w:sz w:val="24"/>
      <w:szCs w:val="24"/>
    </w:rPr>
  </w:style>
  <w:style w:type="paragraph" w:customStyle="1" w:styleId="msonormalcxspmiddle">
    <w:name w:val="msonormalcxspmiddle"/>
    <w:basedOn w:val="Normal"/>
    <w:rsid w:val="003C0DF1"/>
    <w:pPr>
      <w:spacing w:before="100" w:beforeAutospacing="1" w:after="100" w:afterAutospacing="1"/>
    </w:pPr>
  </w:style>
  <w:style w:type="character" w:customStyle="1" w:styleId="apple-converted-space">
    <w:name w:val="apple-converted-space"/>
    <w:basedOn w:val="DefaultParagraphFont"/>
    <w:rsid w:val="003C0DF1"/>
  </w:style>
  <w:style w:type="character" w:styleId="Emphasis">
    <w:name w:val="Emphasis"/>
    <w:basedOn w:val="DefaultParagraphFont"/>
    <w:qFormat/>
    <w:rsid w:val="003C0DF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2018-12-06T03:23:00Z</dcterms:created>
  <dcterms:modified xsi:type="dcterms:W3CDTF">2018-12-06T03:26:00Z</dcterms:modified>
</cp:coreProperties>
</file>