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9" w:type="dxa"/>
        <w:jc w:val="center"/>
        <w:tblInd w:w="510" w:type="dxa"/>
        <w:tblLayout w:type="fixed"/>
        <w:tblLook w:val="0000"/>
      </w:tblPr>
      <w:tblGrid>
        <w:gridCol w:w="3103"/>
        <w:gridCol w:w="6316"/>
        <w:tblGridChange w:id="0">
          <w:tblGrid>
            <w:gridCol w:w="3103"/>
            <w:gridCol w:w="6316"/>
          </w:tblGrid>
        </w:tblGridChange>
      </w:tblGrid>
      <w:tr w:rsidR="001B73A1" w:rsidRPr="00A15C3D" w:rsidTr="00F858B9">
        <w:tblPrEx>
          <w:tblCellMar>
            <w:top w:w="0" w:type="dxa"/>
            <w:bottom w:w="0" w:type="dxa"/>
          </w:tblCellMar>
        </w:tblPrEx>
        <w:trPr>
          <w:trHeight w:val="992"/>
          <w:jc w:val="center"/>
        </w:trPr>
        <w:tc>
          <w:tcPr>
            <w:tcW w:w="3103" w:type="dxa"/>
          </w:tcPr>
          <w:p w:rsidR="001B73A1" w:rsidRDefault="001B73A1" w:rsidP="001B73A1">
            <w:pPr>
              <w:pStyle w:val="Heading2"/>
              <w:ind w:left="62"/>
              <w:jc w:val="center"/>
              <w:rPr>
                <w:sz w:val="26"/>
                <w:szCs w:val="26"/>
              </w:rPr>
            </w:pPr>
            <w:r>
              <w:rPr>
                <w:sz w:val="26"/>
                <w:szCs w:val="26"/>
              </w:rPr>
              <w:t>ỦY BAN NHÂN DÂN</w:t>
            </w:r>
          </w:p>
          <w:p w:rsidR="001B73A1" w:rsidRPr="00A15C3D" w:rsidRDefault="001B73A1" w:rsidP="001B73A1">
            <w:pPr>
              <w:pStyle w:val="Heading2"/>
              <w:ind w:left="62"/>
              <w:jc w:val="center"/>
              <w:rPr>
                <w:sz w:val="26"/>
                <w:szCs w:val="26"/>
              </w:rPr>
            </w:pPr>
            <w:r w:rsidRPr="005062E0">
              <w:rPr>
                <w:b w:val="0"/>
                <w:noProof/>
              </w:rPr>
              <w:pict>
                <v:line id="_x0000_s1029" style="position:absolute;left:0;text-align:left;z-index:251664384" from="53.1pt,18pt" to="80.1pt,18pt"/>
              </w:pict>
            </w:r>
            <w:r w:rsidRPr="00A15C3D">
              <w:rPr>
                <w:sz w:val="26"/>
                <w:szCs w:val="26"/>
              </w:rPr>
              <w:t>HUYỆN SA THẦY</w:t>
            </w:r>
          </w:p>
        </w:tc>
        <w:tc>
          <w:tcPr>
            <w:tcW w:w="6316" w:type="dxa"/>
          </w:tcPr>
          <w:p w:rsidR="001B73A1" w:rsidRDefault="001B73A1" w:rsidP="007C0EFA">
            <w:pPr>
              <w:pStyle w:val="Heading2"/>
              <w:rPr>
                <w:sz w:val="26"/>
                <w:szCs w:val="26"/>
              </w:rPr>
            </w:pPr>
            <w:r w:rsidRPr="005062E0">
              <w:rPr>
                <w:sz w:val="26"/>
                <w:szCs w:val="26"/>
              </w:rPr>
              <w:t>CỘNG HOÀ XÃ HỘI CHỦ NGHĨA VIỆT NAM</w:t>
            </w:r>
          </w:p>
          <w:p w:rsidR="001B73A1" w:rsidRPr="00A15C3D" w:rsidRDefault="001B73A1" w:rsidP="007C0EFA">
            <w:pPr>
              <w:jc w:val="center"/>
            </w:pPr>
            <w:r w:rsidRPr="005062E0">
              <w:rPr>
                <w:b/>
                <w:noProof/>
              </w:rPr>
              <w:pict>
                <v:line id="_x0000_s1030" style="position:absolute;left:0;text-align:left;z-index:251665408" from="71.1pt,18pt" to="235.85pt,18pt"/>
              </w:pict>
            </w:r>
            <w:r w:rsidRPr="005062E0">
              <w:rPr>
                <w:b/>
              </w:rPr>
              <w:t>Độc lập - Tự do - Hạnh phúc</w:t>
            </w:r>
          </w:p>
        </w:tc>
      </w:tr>
      <w:tr w:rsidR="001B73A1" w:rsidRPr="005062E0" w:rsidTr="007C0EFA">
        <w:tblPrEx>
          <w:tblCellMar>
            <w:top w:w="0" w:type="dxa"/>
            <w:bottom w:w="0" w:type="dxa"/>
          </w:tblCellMar>
        </w:tblPrEx>
        <w:trPr>
          <w:trHeight w:val="466"/>
          <w:jc w:val="center"/>
        </w:trPr>
        <w:tc>
          <w:tcPr>
            <w:tcW w:w="3103" w:type="dxa"/>
          </w:tcPr>
          <w:p w:rsidR="001B73A1" w:rsidRPr="00A15C3D" w:rsidRDefault="001B73A1" w:rsidP="001B73A1">
            <w:pPr>
              <w:jc w:val="center"/>
              <w:rPr>
                <w:b/>
                <w:sz w:val="26"/>
                <w:szCs w:val="26"/>
              </w:rPr>
            </w:pPr>
            <w:r w:rsidRPr="00A15C3D">
              <w:rPr>
                <w:sz w:val="26"/>
                <w:szCs w:val="26"/>
              </w:rPr>
              <w:t xml:space="preserve">Số: </w:t>
            </w:r>
            <w:r>
              <w:rPr>
                <w:sz w:val="26"/>
                <w:szCs w:val="26"/>
              </w:rPr>
              <w:t>250</w:t>
            </w:r>
            <w:r w:rsidRPr="00A15C3D">
              <w:rPr>
                <w:sz w:val="26"/>
                <w:szCs w:val="26"/>
              </w:rPr>
              <w:t>/BC-</w:t>
            </w:r>
            <w:r>
              <w:rPr>
                <w:sz w:val="26"/>
                <w:szCs w:val="26"/>
              </w:rPr>
              <w:t>UBND</w:t>
            </w:r>
          </w:p>
        </w:tc>
        <w:tc>
          <w:tcPr>
            <w:tcW w:w="6316" w:type="dxa"/>
          </w:tcPr>
          <w:p w:rsidR="001B73A1" w:rsidRPr="005062E0" w:rsidRDefault="001B73A1" w:rsidP="007C0EFA">
            <w:pPr>
              <w:jc w:val="center"/>
              <w:rPr>
                <w:b/>
              </w:rPr>
            </w:pPr>
            <w:r w:rsidRPr="005062E0">
              <w:rPr>
                <w:i/>
              </w:rPr>
              <w:t xml:space="preserve">Sa Thầy, ngày </w:t>
            </w:r>
            <w:r>
              <w:rPr>
                <w:i/>
              </w:rPr>
              <w:t xml:space="preserve">18 </w:t>
            </w:r>
            <w:r w:rsidRPr="005062E0">
              <w:rPr>
                <w:i/>
              </w:rPr>
              <w:t xml:space="preserve">tháng </w:t>
            </w:r>
            <w:r>
              <w:rPr>
                <w:i/>
              </w:rPr>
              <w:t xml:space="preserve">6 </w:t>
            </w:r>
            <w:r w:rsidRPr="005062E0">
              <w:rPr>
                <w:i/>
              </w:rPr>
              <w:t>năm 2018</w:t>
            </w:r>
          </w:p>
        </w:tc>
      </w:tr>
    </w:tbl>
    <w:p w:rsidR="002D42FA" w:rsidRDefault="002D42FA" w:rsidP="002D42FA">
      <w:pPr>
        <w:jc w:val="center"/>
        <w:rPr>
          <w:b/>
          <w:bCs/>
          <w:sz w:val="14"/>
          <w:lang w:val="nl-NL"/>
        </w:rPr>
      </w:pPr>
    </w:p>
    <w:p w:rsidR="001B73A1" w:rsidRPr="008848E6" w:rsidRDefault="001B73A1" w:rsidP="002D42FA">
      <w:pPr>
        <w:jc w:val="center"/>
        <w:rPr>
          <w:b/>
          <w:bCs/>
          <w:sz w:val="14"/>
          <w:lang w:val="nl-NL"/>
        </w:rPr>
      </w:pPr>
    </w:p>
    <w:p w:rsidR="00F858B9" w:rsidRDefault="00F858B9" w:rsidP="00F858B9">
      <w:pPr>
        <w:tabs>
          <w:tab w:val="center" w:pos="4844"/>
          <w:tab w:val="left" w:pos="6240"/>
        </w:tabs>
        <w:jc w:val="center"/>
        <w:rPr>
          <w:b/>
          <w:bCs/>
          <w:lang w:val="nl-NL"/>
        </w:rPr>
      </w:pPr>
    </w:p>
    <w:p w:rsidR="002D42FA" w:rsidRPr="008848E6" w:rsidRDefault="002D42FA" w:rsidP="00F858B9">
      <w:pPr>
        <w:tabs>
          <w:tab w:val="center" w:pos="4844"/>
          <w:tab w:val="left" w:pos="6240"/>
        </w:tabs>
        <w:jc w:val="center"/>
        <w:rPr>
          <w:b/>
          <w:bCs/>
          <w:lang w:val="nl-NL"/>
        </w:rPr>
      </w:pPr>
      <w:r w:rsidRPr="008848E6">
        <w:rPr>
          <w:b/>
          <w:bCs/>
          <w:lang w:val="nl-NL"/>
        </w:rPr>
        <w:t>BÁO CÁO</w:t>
      </w:r>
    </w:p>
    <w:p w:rsidR="002D42FA" w:rsidRPr="008848E6" w:rsidRDefault="002D42FA" w:rsidP="00F858B9">
      <w:pPr>
        <w:pStyle w:val="Title"/>
        <w:tabs>
          <w:tab w:val="left" w:pos="900"/>
        </w:tabs>
        <w:rPr>
          <w:b/>
          <w:lang w:val="nl-NL"/>
        </w:rPr>
      </w:pPr>
      <w:r w:rsidRPr="0042682D">
        <w:rPr>
          <w:b/>
          <w:lang w:val="vi-VN"/>
        </w:rPr>
        <w:t>Tình hình thực hiện</w:t>
      </w:r>
      <w:r w:rsidRPr="008848E6">
        <w:rPr>
          <w:b/>
          <w:lang w:val="nl-NL"/>
        </w:rPr>
        <w:t xml:space="preserve"> dự toán thu, chi ngân sách 6 tháng đầu năm</w:t>
      </w:r>
    </w:p>
    <w:p w:rsidR="002D42FA" w:rsidRPr="008848E6" w:rsidRDefault="002D42FA" w:rsidP="00F858B9">
      <w:pPr>
        <w:pStyle w:val="Title"/>
        <w:tabs>
          <w:tab w:val="left" w:pos="900"/>
        </w:tabs>
        <w:rPr>
          <w:b/>
          <w:bCs/>
          <w:sz w:val="26"/>
          <w:lang w:val="nl-NL"/>
        </w:rPr>
      </w:pPr>
      <w:r>
        <w:rPr>
          <w:b/>
          <w:lang w:val="nl-NL"/>
        </w:rPr>
        <w:t>v</w:t>
      </w:r>
      <w:r w:rsidRPr="008848E6">
        <w:rPr>
          <w:b/>
          <w:lang w:val="nl-NL"/>
        </w:rPr>
        <w:t xml:space="preserve">à </w:t>
      </w:r>
      <w:r>
        <w:rPr>
          <w:b/>
          <w:lang w:val="nl-NL"/>
        </w:rPr>
        <w:t>giải</w:t>
      </w:r>
      <w:r w:rsidRPr="00174926">
        <w:rPr>
          <w:b/>
          <w:lang w:val="nl-NL"/>
        </w:rPr>
        <w:t xml:space="preserve"> pháp triển khai nhiệm vụ 6 tháng cuối năm </w:t>
      </w:r>
      <w:r w:rsidRPr="008848E6">
        <w:rPr>
          <w:b/>
          <w:lang w:val="nl-NL"/>
        </w:rPr>
        <w:t>2018</w:t>
      </w:r>
    </w:p>
    <w:p w:rsidR="00F858B9" w:rsidRDefault="00F858B9" w:rsidP="00F858B9">
      <w:pPr>
        <w:jc w:val="both"/>
        <w:rPr>
          <w:lang w:val="nl-NL"/>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217.35pt;margin-top:3.55pt;width:39.45pt;height:0;z-index:251666432" o:connectortype="straight"/>
        </w:pict>
      </w:r>
      <w:r w:rsidR="002D42FA" w:rsidRPr="008848E6">
        <w:rPr>
          <w:lang w:val="nl-NL"/>
        </w:rPr>
        <w:t xml:space="preserve">         </w:t>
      </w:r>
    </w:p>
    <w:p w:rsidR="00F858B9" w:rsidRDefault="002D42FA" w:rsidP="00F858B9">
      <w:pPr>
        <w:spacing w:before="120" w:after="120"/>
        <w:ind w:firstLine="709"/>
        <w:jc w:val="both"/>
        <w:rPr>
          <w:lang w:val="nl-NL"/>
        </w:rPr>
      </w:pPr>
      <w:r w:rsidRPr="00F858B9">
        <w:rPr>
          <w:lang w:val="nl-NL"/>
        </w:rPr>
        <w:t>Căn cứ Quyết định số 1327/QĐ-UBND ngày 08/12/2017 của UBND tỉnh Kon Tum về việc giao chỉ tiêu kế hoạch kinh tế xã hội và dự toán ngân sách nhà nước năm 2018;</w:t>
      </w:r>
    </w:p>
    <w:p w:rsidR="00F858B9" w:rsidRDefault="002D42FA" w:rsidP="00F858B9">
      <w:pPr>
        <w:spacing w:before="120" w:after="120"/>
        <w:ind w:firstLine="709"/>
        <w:jc w:val="both"/>
        <w:rPr>
          <w:lang w:val="nl-NL"/>
        </w:rPr>
      </w:pPr>
      <w:r w:rsidRPr="00F858B9">
        <w:rPr>
          <w:lang w:val="nl-NL"/>
        </w:rPr>
        <w:t xml:space="preserve">Căn cứ Nghị quyết số 08/NQ- HĐND ngày 20/12/2017 của HĐND huyện Sa Thầy về việc giao chỉ tiêu kinh tế xã hội và dự toán ngân sách nhà nước năm 2018; </w:t>
      </w:r>
    </w:p>
    <w:p w:rsidR="00F858B9" w:rsidRDefault="002D42FA" w:rsidP="00F858B9">
      <w:pPr>
        <w:spacing w:before="120" w:after="120"/>
        <w:ind w:firstLine="709"/>
        <w:jc w:val="both"/>
        <w:rPr>
          <w:lang w:val="nl-NL"/>
        </w:rPr>
      </w:pPr>
      <w:r w:rsidRPr="00F858B9">
        <w:rPr>
          <w:lang w:val="nl-NL"/>
        </w:rPr>
        <w:t>UBND huyện Sa Thầy báo cáo tình hình thực hiện nhiệm vụ thu- chi ngân sách 6 tháng đầu năm và giải pháp triển khai nhiệm vụ 6 tháng cuối năm 2018, như sau:</w:t>
      </w:r>
    </w:p>
    <w:p w:rsidR="00F858B9" w:rsidRDefault="002D42FA" w:rsidP="00F858B9">
      <w:pPr>
        <w:spacing w:before="120" w:after="120"/>
        <w:ind w:firstLine="709"/>
        <w:jc w:val="both"/>
        <w:rPr>
          <w:b/>
          <w:lang w:val="nl-NL"/>
        </w:rPr>
      </w:pPr>
      <w:r w:rsidRPr="00F858B9">
        <w:rPr>
          <w:b/>
          <w:lang w:val="nl-NL"/>
        </w:rPr>
        <w:t>A. Đánh giá tình hình thực hiện thu - chi ngân sách 06 tháng đầu năm 2018</w:t>
      </w:r>
    </w:p>
    <w:p w:rsidR="00F858B9" w:rsidRDefault="002D42FA" w:rsidP="00F858B9">
      <w:pPr>
        <w:spacing w:before="120" w:after="120"/>
        <w:ind w:firstLine="709"/>
        <w:jc w:val="both"/>
        <w:rPr>
          <w:lang w:val="nl-NL"/>
        </w:rPr>
      </w:pPr>
      <w:r w:rsidRPr="00F858B9">
        <w:rPr>
          <w:b/>
          <w:lang w:val="nl-NL"/>
        </w:rPr>
        <w:t>I. Về phần thu ngân sách</w:t>
      </w:r>
    </w:p>
    <w:p w:rsidR="00F858B9" w:rsidRDefault="002D42FA" w:rsidP="00F858B9">
      <w:pPr>
        <w:spacing w:before="120" w:after="120"/>
        <w:ind w:firstLine="709"/>
        <w:jc w:val="both"/>
        <w:rPr>
          <w:lang w:val="nl-NL"/>
        </w:rPr>
      </w:pPr>
      <w:r w:rsidRPr="00F858B9">
        <w:rPr>
          <w:lang w:val="nl-NL"/>
        </w:rPr>
        <w:t>Năm 2018, UBND tỉnh giao chỉ tiêu thu ngân sách nhà nước trên địa bàn huyện là 64.570 triệu đồng, HĐND huyện giao 71.367 triệu đồng, tăng 6.797 triệu đồng (10,52%) so với UBND tỉnh giao.</w:t>
      </w:r>
    </w:p>
    <w:p w:rsidR="00F858B9" w:rsidRDefault="002D42FA" w:rsidP="00F858B9">
      <w:pPr>
        <w:spacing w:before="120" w:after="120"/>
        <w:ind w:firstLine="709"/>
        <w:jc w:val="both"/>
        <w:rPr>
          <w:lang w:val="nl-NL"/>
        </w:rPr>
      </w:pPr>
      <w:r w:rsidRPr="00F858B9">
        <w:rPr>
          <w:lang w:val="nl-NL"/>
        </w:rPr>
        <w:t>Ngay từ đầu năm, UBND huyện đã triển khai quyết liệt các giải pháp thu ngân sách của huyện, đến hết tháng 5/2018 đã thực hiện được là 53.316 triệu đồng, đạt 83% dự toán tỉnh giao và 75 % kế hoạch huyện giao. Trong đó, Chi cục thuế thu 16.101 triệu đồng, đạt 72% dự toán tỉnh giao và 55 % dự toán huyện giao; Cục thuế thu 37.215 triệu đồng, đạt 88 % dự toán. Ước thực hiện 6 tháng 57.504 triệu đồng, đạt 89% dự toán tỉnh giao, 81% dự toán HDND huyện giao và bằng 190% so cùng kỳ; Trong đó, Chi cục thuế thu 18.996 triệu đồng, đạt 85% dự toán tỉnh giao và 65% dự toán huyện giao; Cục thuế thu 38.508 triệu đồng, đạt 91% dự toán.</w:t>
      </w:r>
    </w:p>
    <w:p w:rsidR="00F858B9" w:rsidRDefault="002D42FA" w:rsidP="00F858B9">
      <w:pPr>
        <w:spacing w:before="120" w:after="120"/>
        <w:ind w:firstLine="709"/>
        <w:jc w:val="both"/>
        <w:rPr>
          <w:lang w:val="nl-NL"/>
        </w:rPr>
      </w:pPr>
      <w:r w:rsidRPr="00F858B9">
        <w:rPr>
          <w:b/>
          <w:lang w:val="nl-NL"/>
        </w:rPr>
        <w:t>1. Thu từ Doanh nghiệp Nhà nước Trung ương:</w:t>
      </w:r>
      <w:r w:rsidRPr="00F858B9">
        <w:rPr>
          <w:lang w:val="nl-NL"/>
        </w:rPr>
        <w:t xml:space="preserve"> Thực hiện đến 31/5 là 3.384,82 triệu đồng, đạt 54% dự toán tỉnh giao và 51% dự toán huyện giao. Ước thực hiện 6 tháng 3.500 triệu đồng, đạt 56 % dự toán tỉnh giao và 52% dự toán huyện giao, bằng 83% so cùng kỳ.</w:t>
      </w:r>
    </w:p>
    <w:p w:rsidR="00F858B9" w:rsidRDefault="002D42FA" w:rsidP="00F858B9">
      <w:pPr>
        <w:spacing w:before="120" w:after="120"/>
        <w:ind w:firstLine="709"/>
        <w:jc w:val="both"/>
        <w:rPr>
          <w:lang w:val="nl-NL"/>
        </w:rPr>
      </w:pPr>
      <w:r w:rsidRPr="00F858B9">
        <w:rPr>
          <w:b/>
          <w:lang w:val="nl-NL"/>
        </w:rPr>
        <w:t>2. Thu từ Doanh nghiệp Nhà nước địa phương:</w:t>
      </w:r>
      <w:r w:rsidRPr="00F858B9">
        <w:rPr>
          <w:lang w:val="nl-NL"/>
        </w:rPr>
        <w:t xml:space="preserve"> Thực hiện đến 31/5 là 162 triệu đồng, đạt 135 % dự toán tỉnh giao và 31% dự toán huyện giao. Ước thực hiện 06 tháng 213 triệu đồng, đạt 178 % dự toán tỉnh giao và 41% dự toán huyện giao, bằng 478% so cùng kỳ.</w:t>
      </w:r>
    </w:p>
    <w:p w:rsidR="00F858B9" w:rsidRDefault="002D42FA" w:rsidP="00F858B9">
      <w:pPr>
        <w:spacing w:before="120" w:after="120"/>
        <w:ind w:firstLine="709"/>
        <w:jc w:val="both"/>
        <w:rPr>
          <w:lang w:val="nl-NL"/>
        </w:rPr>
      </w:pPr>
      <w:r w:rsidRPr="00F858B9">
        <w:rPr>
          <w:b/>
          <w:lang w:val="nl-NL"/>
        </w:rPr>
        <w:lastRenderedPageBreak/>
        <w:t>3. Thu từ thành phần kinh tế công thương nghiệp và dịch vụ ngoài quốc doanh:</w:t>
      </w:r>
      <w:r w:rsidRPr="00F858B9">
        <w:rPr>
          <w:lang w:val="nl-NL"/>
        </w:rPr>
        <w:t xml:space="preserve"> Thực hiện đến 31/5 là 39.107,72 triệu đồng, đạt 82% dự toán tỉnh giao và 78 % dự toán huyện giao; Trong đó, Chi cục thuế thu 6.708 triệu, đạt 50% so dự toán tỉnh giao và 42 % dự toán huyện giao; Cục thuế thu 32.399,64 triệu đồng, đạt 95 % dự toán. Ước thực hiện 6 tháng 41.111,83 triệu đồng, đạt 86 % dự toán tỉnh giao và 82% dự toán huyện giao, bằng 226 % so cùng kỳ; Trong đó, Chi cục thuế thu 7.638.26 triệu, đạt 57 % so dự toán tỉnh giao và 48 % dự toán huyện giao; Cục thuế thu 33.473,57 triệu đồng, đạt 98 % dự toán.</w:t>
      </w:r>
    </w:p>
    <w:p w:rsidR="00F858B9" w:rsidRDefault="002D42FA" w:rsidP="00F858B9">
      <w:pPr>
        <w:spacing w:before="120" w:after="120"/>
        <w:ind w:firstLine="709"/>
        <w:jc w:val="both"/>
        <w:rPr>
          <w:lang w:val="nl-NL"/>
        </w:rPr>
      </w:pPr>
      <w:r w:rsidRPr="00F858B9">
        <w:rPr>
          <w:b/>
          <w:lang w:val="nl-NL"/>
        </w:rPr>
        <w:t>4. Thu tiền sử dụng đất:</w:t>
      </w:r>
      <w:r w:rsidRPr="00F858B9">
        <w:rPr>
          <w:lang w:val="nl-NL"/>
        </w:rPr>
        <w:t xml:space="preserve"> Thực hiện đến 31/5 là 5.473  triệu đồng, đạt 547 % dự toán giao và 134% dự toán huyện giao. Ước thực hiện 6 tháng 7.094 triệu đồng, đạt 709% dự toán tỉnh giao và 174 % dự toán huyện giao, bằng 273% so cùng kỳ.</w:t>
      </w:r>
    </w:p>
    <w:p w:rsidR="00F858B9" w:rsidRDefault="002D42FA" w:rsidP="00F858B9">
      <w:pPr>
        <w:spacing w:before="120" w:after="120"/>
        <w:ind w:firstLine="709"/>
        <w:jc w:val="both"/>
        <w:rPr>
          <w:lang w:val="nl-NL"/>
        </w:rPr>
      </w:pPr>
      <w:r w:rsidRPr="00F858B9">
        <w:rPr>
          <w:b/>
          <w:lang w:val="nl-NL"/>
        </w:rPr>
        <w:t>5. Thuế thu nhập cá nhân:</w:t>
      </w:r>
      <w:r w:rsidRPr="00F858B9">
        <w:rPr>
          <w:lang w:val="nl-NL"/>
        </w:rPr>
        <w:t xml:space="preserve"> Thực hiện đến 31/5 là 2.557,55 triệu đồng, đạt 59% dự toán giao tỉnh giao và 57% dự toán huyện giao. Ước thực hiện 6 tháng 2.800 triệu đồng, đạt 65% dự toán tỉnh giao và 62% dự toán huyện giao, bằng 114% so cùng kỳ.</w:t>
      </w:r>
    </w:p>
    <w:p w:rsidR="00F858B9" w:rsidRDefault="002D42FA" w:rsidP="00F858B9">
      <w:pPr>
        <w:spacing w:before="120" w:after="120"/>
        <w:ind w:firstLine="709"/>
        <w:jc w:val="both"/>
        <w:rPr>
          <w:lang w:val="nl-NL"/>
        </w:rPr>
      </w:pPr>
      <w:r w:rsidRPr="00F858B9">
        <w:rPr>
          <w:b/>
          <w:lang w:val="nl-NL"/>
        </w:rPr>
        <w:t>6. Lệ phí trước bạ:</w:t>
      </w:r>
      <w:r w:rsidRPr="00F858B9">
        <w:rPr>
          <w:lang w:val="nl-NL"/>
        </w:rPr>
        <w:t xml:space="preserve"> Thực hiện đến 31/5 là 1.187,76 triệu đồng, đạt 54% dự toán tỉnh giao và 49% dự toán huyện giao. Ước thực hiện 6 tháng 1.250 triệu đồng, đạt 57% dự toán tỉnh giao và 52% dự toán huyện giao, bằng 101% so cùng kỳ.</w:t>
      </w:r>
    </w:p>
    <w:p w:rsidR="00F858B9" w:rsidRDefault="002D42FA" w:rsidP="00F858B9">
      <w:pPr>
        <w:spacing w:before="120" w:after="120"/>
        <w:ind w:firstLine="709"/>
        <w:jc w:val="both"/>
        <w:rPr>
          <w:lang w:val="nl-NL"/>
        </w:rPr>
      </w:pPr>
      <w:r w:rsidRPr="00F858B9">
        <w:rPr>
          <w:b/>
          <w:lang w:val="nl-NL"/>
        </w:rPr>
        <w:t>7. Các loại phí và lệ phí:</w:t>
      </w:r>
      <w:r w:rsidRPr="00F858B9">
        <w:rPr>
          <w:lang w:val="nl-NL"/>
        </w:rPr>
        <w:t xml:space="preserve"> Thực hiện đến 31/5 là 564,46  triệu đồng, đạt 42% dự toán tỉnh và huyện giao. Ước thực hiện 6 tháng 593,4triệu đồng, đạt 45% dự toán tỉnh và huyện giao và bằng111 % so cùng kỳ.</w:t>
      </w:r>
    </w:p>
    <w:p w:rsidR="00F858B9" w:rsidRDefault="002D42FA" w:rsidP="00F858B9">
      <w:pPr>
        <w:spacing w:before="120" w:after="120"/>
        <w:ind w:firstLine="709"/>
        <w:jc w:val="both"/>
        <w:rPr>
          <w:lang w:val="nl-NL"/>
        </w:rPr>
      </w:pPr>
      <w:r w:rsidRPr="00F858B9">
        <w:rPr>
          <w:b/>
          <w:lang w:val="nl-NL"/>
        </w:rPr>
        <w:t>8. Các khoản thu khác còn lại:</w:t>
      </w:r>
      <w:r w:rsidRPr="00F858B9">
        <w:rPr>
          <w:lang w:val="nl-NL"/>
        </w:rPr>
        <w:t xml:space="preserve"> Thực hiện đến 31/5 là 879 triệu đồng, đạt 52% dự toán tỉnh giao và 42% dự toán huyện giao. Ước thực hiện 6 tháng 938 triệu đồng, đạt 55% dự toán tỉnh giao và 49 % dự toán huyện giao, bằng 96% so cùng kỳ.</w:t>
      </w:r>
    </w:p>
    <w:p w:rsidR="00F858B9" w:rsidRDefault="002D42FA" w:rsidP="00F858B9">
      <w:pPr>
        <w:spacing w:before="120" w:after="120"/>
        <w:ind w:firstLine="709"/>
        <w:jc w:val="both"/>
        <w:rPr>
          <w:lang w:val="nl-NL"/>
        </w:rPr>
      </w:pPr>
      <w:r w:rsidRPr="00F858B9">
        <w:rPr>
          <w:b/>
          <w:lang w:val="nl-NL"/>
        </w:rPr>
        <w:t>9</w:t>
      </w:r>
      <w:r w:rsidRPr="00F858B9">
        <w:rPr>
          <w:b/>
          <w:lang w:val="vi-VN"/>
        </w:rPr>
        <w:t>. Thu ngân sách huyện</w:t>
      </w:r>
    </w:p>
    <w:p w:rsidR="00F858B9" w:rsidRDefault="002D42FA" w:rsidP="00F858B9">
      <w:pPr>
        <w:spacing w:before="120" w:after="120"/>
        <w:ind w:firstLine="709"/>
        <w:jc w:val="both"/>
        <w:rPr>
          <w:lang w:val="nl-NL"/>
        </w:rPr>
      </w:pPr>
      <w:r w:rsidRPr="00F858B9">
        <w:rPr>
          <w:lang w:val="vi-VN"/>
        </w:rPr>
        <w:t>- Tổng dự toán thu ngân sách huyện HĐND giao đầu năm là: 320.058 triệu đồng; trong đó, thu ngân sách trên địa bàn huyện hưởng theo phân cấp 57.856 triệu đồng; thu bổ sung cân đối 198.509 triệu đồng; bổ sung mục tiêu 63.693 triệu đồng.</w:t>
      </w:r>
    </w:p>
    <w:p w:rsidR="00F858B9" w:rsidRDefault="002D42FA" w:rsidP="00F858B9">
      <w:pPr>
        <w:spacing w:before="120" w:after="120"/>
        <w:ind w:firstLine="709"/>
        <w:jc w:val="both"/>
        <w:rPr>
          <w:lang w:val="nl-NL"/>
        </w:rPr>
      </w:pPr>
      <w:r w:rsidRPr="00F858B9">
        <w:rPr>
          <w:lang w:val="vi-VN"/>
        </w:rPr>
        <w:t xml:space="preserve">- Thực hiện đến 31/5 là 192.181 triệu đồng, đạt 60% dự toán giao, gồm: thu NS trên địa bàn 44.406 triệu đồng, đạt 77% dự toán giao </w:t>
      </w:r>
      <w:r w:rsidRPr="00F858B9">
        <w:rPr>
          <w:i/>
          <w:lang w:val="vi-VN"/>
        </w:rPr>
        <w:t>(Số thu cân đối đã loại trừ tiền đất 40.027,69  triệu đồng, đạt 73,3 % dự toán)</w:t>
      </w:r>
      <w:r w:rsidRPr="00F858B9">
        <w:rPr>
          <w:lang w:val="vi-VN"/>
        </w:rPr>
        <w:t xml:space="preserve">. Ước thực hiện 6 tháng 222.120 triệu đồng, đạt 69% dự toán huyện giao, bằng 148% so cùng kỳ; trong đó, thu NS trên địa bàn 47.876,5 triệu đồng, đạt 83% dự toán giao </w:t>
      </w:r>
      <w:r w:rsidRPr="00F858B9">
        <w:rPr>
          <w:i/>
          <w:lang w:val="vi-VN"/>
        </w:rPr>
        <w:t>(Số thu cân đối đã loại trừ tiền đất 42.182,5 triệu đồng, đạt 77,28 % dự toán);</w:t>
      </w:r>
      <w:r w:rsidRPr="00F858B9">
        <w:rPr>
          <w:lang w:val="vi-VN"/>
        </w:rPr>
        <w:t xml:space="preserve"> thu bổ sung ngân sách cấp trên 131.000 triệu đồng, đạt 50% dự toán; thu chuyển nguồn 43.243,409 triệu đồng.</w:t>
      </w:r>
    </w:p>
    <w:p w:rsidR="00F858B9" w:rsidRDefault="002D42FA" w:rsidP="00F858B9">
      <w:pPr>
        <w:spacing w:before="120" w:after="120"/>
        <w:ind w:firstLine="709"/>
        <w:jc w:val="both"/>
      </w:pPr>
      <w:r w:rsidRPr="00F858B9">
        <w:rPr>
          <w:b/>
          <w:lang w:val="vi-VN"/>
        </w:rPr>
        <w:t>II. Tình hình thực hiện chi ngân sách</w:t>
      </w:r>
    </w:p>
    <w:p w:rsidR="00F858B9" w:rsidRDefault="002D42FA" w:rsidP="00F858B9">
      <w:pPr>
        <w:spacing w:before="120" w:after="120"/>
        <w:ind w:firstLine="709"/>
        <w:jc w:val="both"/>
      </w:pPr>
      <w:r w:rsidRPr="00F858B9">
        <w:rPr>
          <w:lang w:val="vi-VN"/>
        </w:rPr>
        <w:lastRenderedPageBreak/>
        <w:t>Nhiệm vụ chi ngân sách huyện năm 2018 HĐND huyện giao 320.058 triệu đồng, tăng 5.207 triệu đồng so với UBND tỉnh giao (1,65%); trong đó: Chi đầu tư phát triển 49.351 triệu đồng; Chi thường xuyên 265.849 triệu đồng; Dự phòng ngân sách 5.020 triệu đồng.</w:t>
      </w:r>
    </w:p>
    <w:p w:rsidR="00F858B9" w:rsidRDefault="002D42FA" w:rsidP="00F858B9">
      <w:pPr>
        <w:spacing w:before="120" w:after="120"/>
        <w:ind w:firstLine="709"/>
        <w:jc w:val="both"/>
      </w:pPr>
      <w:r w:rsidRPr="00F858B9">
        <w:rPr>
          <w:lang w:val="vi-VN"/>
        </w:rPr>
        <w:t>Thực hiện đến 31/5/2018 là 119.818 triệu đồng, đạt 37% dự toán và đạt 33% nhiệm vụ chi.</w:t>
      </w:r>
    </w:p>
    <w:p w:rsidR="00F858B9" w:rsidRDefault="002D42FA" w:rsidP="00F858B9">
      <w:pPr>
        <w:spacing w:before="120" w:after="120"/>
        <w:ind w:firstLine="709"/>
        <w:jc w:val="both"/>
      </w:pPr>
      <w:r w:rsidRPr="00F858B9">
        <w:rPr>
          <w:b/>
        </w:rPr>
        <w:t>1.C</w:t>
      </w:r>
      <w:r w:rsidRPr="00F858B9">
        <w:rPr>
          <w:b/>
          <w:lang w:val="vi-VN"/>
        </w:rPr>
        <w:t>hi đầu tư phát triển</w:t>
      </w:r>
      <w:r w:rsidRPr="00F858B9">
        <w:t xml:space="preserve">: Thực hiện đến 31/5/2018 </w:t>
      </w:r>
      <w:r w:rsidRPr="00F858B9">
        <w:rPr>
          <w:lang w:val="vi-VN"/>
        </w:rPr>
        <w:t>là 18.083 triệu đồng, đạt 37 % dự toán và đạt 31% nhiệm vụ chi</w:t>
      </w:r>
      <w:r w:rsidRPr="00F858B9">
        <w:t>.</w:t>
      </w:r>
    </w:p>
    <w:p w:rsidR="00F858B9" w:rsidRDefault="002D42FA" w:rsidP="00F858B9">
      <w:pPr>
        <w:spacing w:before="120" w:after="120"/>
        <w:ind w:firstLine="709"/>
        <w:jc w:val="both"/>
      </w:pPr>
      <w:r w:rsidRPr="00F858B9">
        <w:rPr>
          <w:b/>
        </w:rPr>
        <w:t>2. C</w:t>
      </w:r>
      <w:r w:rsidRPr="00F858B9">
        <w:rPr>
          <w:b/>
          <w:lang w:val="vi-VN"/>
        </w:rPr>
        <w:t>hi thường xuyên</w:t>
      </w:r>
      <w:r w:rsidRPr="00F858B9">
        <w:t xml:space="preserve">: Thực hiện đến 31/5/2018  là </w:t>
      </w:r>
      <w:r w:rsidRPr="00F858B9">
        <w:rPr>
          <w:lang w:val="vi-VN"/>
        </w:rPr>
        <w:t xml:space="preserve">101.735 triệu đồng, đạt 38 % dự toán và đạt 34 % nhiệm vụ chi. </w:t>
      </w:r>
    </w:p>
    <w:p w:rsidR="00F858B9" w:rsidRDefault="002D42FA" w:rsidP="00F858B9">
      <w:pPr>
        <w:spacing w:before="120" w:after="120"/>
        <w:ind w:firstLine="709"/>
        <w:jc w:val="both"/>
      </w:pPr>
      <w:r w:rsidRPr="00F858B9">
        <w:rPr>
          <w:lang w:val="vi-VN"/>
        </w:rPr>
        <w:t>Ước thực hiện 6 tháng 173.260 triệu đồng, đạt 54% dự toán và đạt 47% nhiệm vụ chi, bằng 98% so cùng kỳ</w:t>
      </w:r>
      <w:r w:rsidR="00F858B9">
        <w:t>.</w:t>
      </w:r>
      <w:r w:rsidRPr="00F858B9">
        <w:rPr>
          <w:lang w:val="vi-VN"/>
        </w:rPr>
        <w:t xml:space="preserve"> </w:t>
      </w:r>
    </w:p>
    <w:p w:rsidR="00F858B9" w:rsidRDefault="002D42FA" w:rsidP="00F858B9">
      <w:pPr>
        <w:spacing w:before="120" w:after="120"/>
        <w:ind w:firstLine="709"/>
        <w:jc w:val="both"/>
      </w:pPr>
      <w:r w:rsidRPr="00F858B9">
        <w:rPr>
          <w:lang w:val="vi-VN"/>
        </w:rPr>
        <w:t>Trong đó, chi đầu tư phát triển là 25.700 triệu đồng, đạt 52% dự toán và 43% nhiệm vụ chi; chi thường xuyên 147.560 triệu đồng, đạt 56 % dự toán và 49 nhiệm vụ chi.</w:t>
      </w:r>
    </w:p>
    <w:p w:rsidR="00F858B9" w:rsidRDefault="002D42FA" w:rsidP="00F858B9">
      <w:pPr>
        <w:spacing w:before="120" w:after="120"/>
        <w:ind w:firstLine="709"/>
        <w:jc w:val="both"/>
        <w:rPr>
          <w:b/>
        </w:rPr>
      </w:pPr>
      <w:r w:rsidRPr="00F858B9">
        <w:rPr>
          <w:b/>
          <w:lang w:val="vi-VN"/>
        </w:rPr>
        <w:t>III. Đánh giá tình hình thực hiện thu ngân sách 6 tháng năm 201</w:t>
      </w:r>
      <w:r w:rsidRPr="00F858B9">
        <w:rPr>
          <w:b/>
        </w:rPr>
        <w:t>8</w:t>
      </w:r>
    </w:p>
    <w:p w:rsidR="00F858B9" w:rsidRDefault="002D42FA" w:rsidP="00F858B9">
      <w:pPr>
        <w:spacing w:before="120" w:after="120"/>
        <w:ind w:firstLine="709"/>
        <w:jc w:val="both"/>
        <w:rPr>
          <w:b/>
        </w:rPr>
      </w:pPr>
      <w:r w:rsidRPr="00F858B9">
        <w:rPr>
          <w:b/>
          <w:lang w:val="vi-VN"/>
        </w:rPr>
        <w:t>1.</w:t>
      </w:r>
      <w:r w:rsidR="00F858B9">
        <w:rPr>
          <w:b/>
        </w:rPr>
        <w:t xml:space="preserve"> </w:t>
      </w:r>
      <w:r w:rsidRPr="00F858B9">
        <w:rPr>
          <w:b/>
          <w:lang w:val="vi-VN"/>
        </w:rPr>
        <w:t>Về phần thu</w:t>
      </w:r>
    </w:p>
    <w:p w:rsidR="00F858B9" w:rsidRDefault="002D42FA" w:rsidP="00F858B9">
      <w:pPr>
        <w:spacing w:before="120" w:after="120"/>
        <w:ind w:firstLine="709"/>
        <w:jc w:val="both"/>
      </w:pPr>
      <w:r w:rsidRPr="00F858B9">
        <w:rPr>
          <w:lang w:val="vi-VN"/>
        </w:rPr>
        <w:t xml:space="preserve">Trong 6 tháng đầu năm, tình hình kinh tế của huyện tăng trưởng khá, các giá cả nông sản chủ lực khá cao, thiên tai dịch bệnh được khống chế, không xảy ra trên địa bàn; công nghiệp sản xuất phát triển tốt, thương mại ổn định. Các giải pháp của UBND huyện về triển khai thu ngân sách, khai thác các nguồn thu quyết liệt, có hiệu quả nên tình hình thu ngân sách trên địa bàn đạt khá so với kế hoạch đề ra. Tập trung vào kinh tế thương nghiệp và dịch vụ ngoài quốc doanh, thu quyền sử dụng đất.  </w:t>
      </w:r>
    </w:p>
    <w:p w:rsidR="00F858B9" w:rsidRPr="00F858B9" w:rsidRDefault="002D42FA" w:rsidP="00F858B9">
      <w:pPr>
        <w:spacing w:before="120" w:after="120"/>
        <w:ind w:firstLine="709"/>
        <w:jc w:val="both"/>
      </w:pPr>
      <w:r w:rsidRPr="00F858B9">
        <w:rPr>
          <w:b/>
          <w:lang w:val="vi-VN"/>
        </w:rPr>
        <w:t xml:space="preserve">2. </w:t>
      </w:r>
      <w:r w:rsidR="00F858B9">
        <w:rPr>
          <w:b/>
        </w:rPr>
        <w:t>Về p</w:t>
      </w:r>
      <w:r w:rsidRPr="00F858B9">
        <w:rPr>
          <w:b/>
          <w:lang w:val="vi-VN"/>
        </w:rPr>
        <w:t>hần chi</w:t>
      </w:r>
    </w:p>
    <w:p w:rsidR="00F858B9" w:rsidRDefault="002D42FA" w:rsidP="00F858B9">
      <w:pPr>
        <w:tabs>
          <w:tab w:val="left" w:pos="900"/>
        </w:tabs>
        <w:spacing w:before="120" w:after="120"/>
        <w:ind w:firstLine="709"/>
        <w:jc w:val="both"/>
      </w:pPr>
      <w:r w:rsidRPr="00F858B9">
        <w:rPr>
          <w:lang w:val="vi-VN"/>
        </w:rPr>
        <w:t>Tình hình thực hiện nhiệm vụ chi 6 tháng đầu năm 2018, cơ bản đạt theo tiến độ, đảm bảo an sinh xã hội và nhiệm vụ an ninh quốc phòng trên địa bàn.</w:t>
      </w:r>
    </w:p>
    <w:p w:rsidR="00F858B9" w:rsidRDefault="002D42FA" w:rsidP="00F858B9">
      <w:pPr>
        <w:tabs>
          <w:tab w:val="left" w:pos="900"/>
        </w:tabs>
        <w:spacing w:before="120" w:after="120"/>
        <w:ind w:firstLine="709"/>
        <w:jc w:val="both"/>
      </w:pPr>
      <w:r w:rsidRPr="00F858B9">
        <w:rPr>
          <w:b/>
          <w:bCs/>
          <w:lang w:val="vi-VN"/>
        </w:rPr>
        <w:t>B. Giải pháp triển khai nhiệm vụ 6 tháng cuối năm 2018</w:t>
      </w:r>
    </w:p>
    <w:p w:rsidR="00F858B9" w:rsidRDefault="002D42FA" w:rsidP="00F858B9">
      <w:pPr>
        <w:tabs>
          <w:tab w:val="left" w:pos="900"/>
        </w:tabs>
        <w:spacing w:before="120" w:after="120"/>
        <w:ind w:firstLine="709"/>
        <w:jc w:val="both"/>
      </w:pPr>
      <w:r w:rsidRPr="00F858B9">
        <w:rPr>
          <w:lang w:val="vi-VN"/>
        </w:rPr>
        <w:t>Tiếp tục thực hiện Quyết định số 62/QĐ-UBND ngày 16/01/2018 của UBND tỉnh về Chương trình hành động triển khai thực hiện các Nghị quyết của Chính phủ, HĐND tỉnh về kinh tế xã hội và dự toán ngân sách năm 2018; Quyết định số 276/QĐ-UBND ngày 13/02/2018 của UBND huyện Sa Thầy về Chương trình hành động triển khai thực hiện các Nghị quyết của HĐND huyện về kinh tế xã hội và dự toán ngân sách năm 2018.</w:t>
      </w:r>
    </w:p>
    <w:p w:rsidR="00F858B9" w:rsidRDefault="002D42FA" w:rsidP="00F858B9">
      <w:pPr>
        <w:tabs>
          <w:tab w:val="left" w:pos="900"/>
        </w:tabs>
        <w:spacing w:before="120" w:after="120"/>
        <w:ind w:firstLine="709"/>
        <w:jc w:val="both"/>
        <w:rPr>
          <w:b/>
          <w:bCs/>
        </w:rPr>
      </w:pPr>
      <w:r w:rsidRPr="00F858B9">
        <w:rPr>
          <w:b/>
          <w:bCs/>
          <w:lang w:val="vi-VN"/>
        </w:rPr>
        <w:t>1. Về công tác thu</w:t>
      </w:r>
    </w:p>
    <w:p w:rsidR="00F858B9" w:rsidRDefault="002D42FA" w:rsidP="00F858B9">
      <w:pPr>
        <w:tabs>
          <w:tab w:val="left" w:pos="900"/>
        </w:tabs>
        <w:spacing w:before="120" w:after="120"/>
        <w:ind w:firstLine="709"/>
        <w:jc w:val="both"/>
      </w:pPr>
      <w:r w:rsidRPr="00F858B9">
        <w:t xml:space="preserve">- Tăng cường công tác tuyên truyền các chính sách, pháp luật về thuế bằng nhiều hình thức, tạo điều kiện thuận lợi cho các tổ chức, cá nhân có hoạt động sản xuất, kinh doanh nắm bắt kịp thời, đầy đủ các chính sách, pháp luật về thuế. Tăng cường công tác hỗ trợ và tạo điều kiện thuận lợi cho người nộp thuế thực hiện </w:t>
      </w:r>
      <w:r w:rsidRPr="00F858B9">
        <w:lastRenderedPageBreak/>
        <w:t>quyền và nghĩa vụ của mình. Tiếp tục đẩy mạnh cải cách thủ tục hành chính trong lĩnh vực thuế.</w:t>
      </w:r>
    </w:p>
    <w:p w:rsidR="00F858B9" w:rsidRDefault="002D42FA" w:rsidP="00F858B9">
      <w:pPr>
        <w:tabs>
          <w:tab w:val="left" w:pos="900"/>
        </w:tabs>
        <w:spacing w:before="120" w:after="120"/>
        <w:ind w:firstLine="709"/>
        <w:jc w:val="both"/>
      </w:pPr>
      <w:r w:rsidRPr="00F858B9">
        <w:rPr>
          <w:lang w:val="vi-VN" w:eastAsia="vi-VN"/>
        </w:rPr>
        <w:t>- Tăng cường công tác thu ngân sách, đảm bảo thu đúng, thu đủ và kịp thời theo quy định của Pháp luật, phấn đấu hoàn thành và vượt dự toán thu ngân sách được HĐND huyện giao.</w:t>
      </w:r>
    </w:p>
    <w:p w:rsidR="00F858B9" w:rsidRDefault="002D42FA" w:rsidP="00F858B9">
      <w:pPr>
        <w:tabs>
          <w:tab w:val="left" w:pos="900"/>
        </w:tabs>
        <w:spacing w:before="120" w:after="120"/>
        <w:ind w:firstLine="709"/>
        <w:jc w:val="both"/>
      </w:pPr>
      <w:r w:rsidRPr="00F858B9">
        <w:rPr>
          <w:lang w:val="vi-VN" w:eastAsia="vi-VN"/>
        </w:rPr>
        <w:t>- Chú trọng công tác thu nghĩa vụ tài chính trên lĩnh vực đất đai thông qua đẩy mạnh công tác cấp giấy chứng nhận quyền sử dụng đất, chuyển mục đích sử dụng đất và thu nợ theo quy định. Quản lý và khai thác tốt quỹ đất các khu dân cư để đưa ra bán đấu giá tạo nguồn thu cho ngân sách. Thực hiện tốt công tác quản lý quy hoạch, cấp phép xây dựng để khai thác được nguồn thu ngân sách</w:t>
      </w:r>
    </w:p>
    <w:p w:rsidR="00F858B9" w:rsidRDefault="002D42FA" w:rsidP="00F858B9">
      <w:pPr>
        <w:tabs>
          <w:tab w:val="left" w:pos="900"/>
        </w:tabs>
        <w:spacing w:before="120" w:after="120"/>
        <w:ind w:firstLine="709"/>
        <w:jc w:val="both"/>
      </w:pPr>
      <w:r w:rsidRPr="00F858B9">
        <w:rPr>
          <w:lang w:val="vi-VN" w:eastAsia="vi-VN"/>
        </w:rPr>
        <w:t>- Tập trung quản lý tốt khai thác tài nguyên khoáng sản trên địa bàn, đảm bảo việc khai thác phải đúng quy hoạch được cấp thẩm quyền phê duyệt và cấp phép khai thác; tổ chức thu đúng, thu đủ vào ngân sách từ hoạt động khai thác tài nguyên khoáng sản. Kiên quyết xử lý các trường hợp khai thác tài nguyên khoáng sản trái phép, truy thu và xử phạt nghiêm các trường hợp khai thác tài khoáng sản trái phép hoặc không thực hiện nộp tiền khai thác tài nguyên khoáng sản vào ngân sách theo đúng quy định của pháp luật.</w:t>
      </w:r>
    </w:p>
    <w:p w:rsidR="00F858B9" w:rsidRDefault="002D42FA" w:rsidP="00F858B9">
      <w:pPr>
        <w:tabs>
          <w:tab w:val="left" w:pos="900"/>
        </w:tabs>
        <w:spacing w:before="120" w:after="120"/>
        <w:ind w:firstLine="709"/>
        <w:jc w:val="both"/>
      </w:pPr>
      <w:r w:rsidRPr="00F858B9">
        <w:rPr>
          <w:lang w:val="vi-VN" w:eastAsia="vi-VN"/>
        </w:rPr>
        <w:t>- Thực hiện tốt công tác cải cách hành chính trong lĩnh vực đất đai, cấp phép xây dựng, kêu gọi thu hút đầu tư, tạo mọi điều kiện thuận lợi cho các thành phần kinh tế tham gia hoạt động; thực hiện tốt công tác giải phóng mặt bằng để đẩy nhanh tiến độ xây dựng cơ bản, phối hợp tốt với các chủ đầu tư về thu ngân sách trong xây dựng cơ bản.</w:t>
      </w:r>
    </w:p>
    <w:p w:rsidR="00F858B9" w:rsidRDefault="002D42FA" w:rsidP="00F858B9">
      <w:pPr>
        <w:tabs>
          <w:tab w:val="left" w:pos="900"/>
        </w:tabs>
        <w:spacing w:before="120" w:after="120"/>
        <w:ind w:firstLine="709"/>
        <w:jc w:val="both"/>
      </w:pPr>
      <w:r w:rsidRPr="00F858B9">
        <w:rPr>
          <w:lang w:val="vi-VN" w:eastAsia="vi-VN"/>
        </w:rPr>
        <w:t>- Tăng cường công tác thanh tra, kiểm tra nhằm chống thất thu ngân sách, kịp thời phát hiện và xử lý nghiêm các hành vi trốn thuế, gian lận thương mại, buôn lậu, chuyển giá. Triển khai thực hiện tích cực các biện pháp đôn đốc, thu hồi nợ, xử lý nợ đúng quy định của pháp luật.</w:t>
      </w:r>
    </w:p>
    <w:p w:rsidR="00F858B9" w:rsidRDefault="002D42FA" w:rsidP="00F858B9">
      <w:pPr>
        <w:tabs>
          <w:tab w:val="left" w:pos="900"/>
        </w:tabs>
        <w:spacing w:before="120" w:after="120"/>
        <w:ind w:firstLine="709"/>
        <w:jc w:val="both"/>
        <w:rPr>
          <w:b/>
          <w:bCs/>
        </w:rPr>
      </w:pPr>
      <w:r w:rsidRPr="00F858B9">
        <w:rPr>
          <w:b/>
          <w:bCs/>
          <w:lang w:val="vi-VN"/>
        </w:rPr>
        <w:t>2. Về nhiệm vụ chi</w:t>
      </w:r>
    </w:p>
    <w:p w:rsidR="00F858B9" w:rsidRDefault="002D42FA" w:rsidP="00F858B9">
      <w:pPr>
        <w:tabs>
          <w:tab w:val="left" w:pos="900"/>
        </w:tabs>
        <w:spacing w:before="120" w:after="120"/>
        <w:ind w:firstLine="709"/>
        <w:jc w:val="both"/>
      </w:pPr>
      <w:r w:rsidRPr="00F858B9">
        <w:t>- Thực hiện tiết kiệm triệt để các khoản chi thường xuyên, chủ động sắp xếp hợp lý nhiệm vụ chi thường xuyên. Ưu tiên các nhiệm vụ quan trọng, các chính sách an sinh xã hội, chi đầu tư phát triển và điều chỉnh tiền lương</w:t>
      </w:r>
      <w:r w:rsidRPr="00F858B9">
        <w:rPr>
          <w:rFonts w:ascii="Arial" w:hAnsi="Arial" w:cs="Arial"/>
          <w:sz w:val="15"/>
          <w:szCs w:val="15"/>
          <w:shd w:val="clear" w:color="auto" w:fill="FFFFFF"/>
        </w:rPr>
        <w:t xml:space="preserve"> </w:t>
      </w:r>
      <w:r w:rsidRPr="00F858B9">
        <w:rPr>
          <w:shd w:val="clear" w:color="auto" w:fill="FFFFFF"/>
        </w:rPr>
        <w:t>không để xảy ra tình trạng nợ lương cán bộ, công chức, viên chức, các khoản chi cho con người và chính sách đảm bảo xã hội theo chế độ;</w:t>
      </w:r>
      <w:r w:rsidRPr="00F858B9">
        <w:t xml:space="preserve"> giảm mạnh kinh phí tổ chức hội nghị, hội thảo, khánh tiết, đi công tác ra nước ngoài; bố trí kinh phí mua sắm trang thiết bị chặt chẽ, đúng quy định; giãn tiến độ thực hiện nhiệm vụ chi chưa thật sự cấp thiết vào cuối năm.</w:t>
      </w:r>
    </w:p>
    <w:p w:rsidR="00F858B9" w:rsidRDefault="002D42FA" w:rsidP="00F858B9">
      <w:pPr>
        <w:tabs>
          <w:tab w:val="left" w:pos="900"/>
        </w:tabs>
        <w:spacing w:before="120" w:after="120"/>
        <w:ind w:firstLine="709"/>
        <w:jc w:val="both"/>
      </w:pPr>
      <w:r w:rsidRPr="00F858B9">
        <w:t xml:space="preserve">- Kiến quyết cắt giảm những khoản chi thường xuyên đã có trong dự toán nhưng đến 30/6/2018 chưa phân bổ, hoặc đã phân bổ nhưng chưa triển khai thực hiện. Trừ trường hợp đặc biệt được cấp thẩm quyền quyết định. </w:t>
      </w:r>
    </w:p>
    <w:p w:rsidR="00F858B9" w:rsidRDefault="002D42FA" w:rsidP="00F858B9">
      <w:pPr>
        <w:tabs>
          <w:tab w:val="left" w:pos="900"/>
        </w:tabs>
        <w:spacing w:before="120" w:after="120"/>
        <w:ind w:firstLine="709"/>
        <w:jc w:val="both"/>
      </w:pPr>
      <w:r w:rsidRPr="00F858B9">
        <w:rPr>
          <w:lang w:val="vi-VN"/>
        </w:rPr>
        <w:t xml:space="preserve">- </w:t>
      </w:r>
      <w:r w:rsidRPr="00F858B9">
        <w:t>Đ</w:t>
      </w:r>
      <w:r w:rsidRPr="00F858B9">
        <w:rPr>
          <w:lang w:val="vi-VN"/>
        </w:rPr>
        <w:t>ẩy mạnh công tác giải ngân nguồn vốn đầu tư XDCB, nguồn vốn Chương trình MTQG; tăng cường công tác quyết toán vốn đầu tư các công trình hoàn thành đưa vào sử dụng.</w:t>
      </w:r>
    </w:p>
    <w:p w:rsidR="00F858B9" w:rsidRDefault="002D42FA" w:rsidP="00F858B9">
      <w:pPr>
        <w:tabs>
          <w:tab w:val="left" w:pos="900"/>
        </w:tabs>
        <w:spacing w:before="120" w:after="120"/>
        <w:ind w:firstLine="709"/>
        <w:jc w:val="both"/>
      </w:pPr>
      <w:r w:rsidRPr="00F858B9">
        <w:rPr>
          <w:lang w:val="vi-VN"/>
        </w:rPr>
        <w:lastRenderedPageBreak/>
        <w:t>- Tăng cường công tác kiểm tra, thanh tra các khoản chi ngân sách nhà nước, kể cả các khoản chi quản lý qua ngân sách và các quỹ tài chính.</w:t>
      </w:r>
    </w:p>
    <w:p w:rsidR="002D42FA" w:rsidRPr="00F858B9" w:rsidRDefault="002D42FA" w:rsidP="00F858B9">
      <w:pPr>
        <w:tabs>
          <w:tab w:val="left" w:pos="900"/>
        </w:tabs>
        <w:spacing w:before="120" w:after="120"/>
        <w:ind w:firstLine="709"/>
        <w:jc w:val="both"/>
      </w:pPr>
      <w:r w:rsidRPr="00F858B9">
        <w:rPr>
          <w:lang w:val="vi-VN"/>
        </w:rPr>
        <w:t>Trên đây là</w:t>
      </w:r>
      <w:r w:rsidRPr="00F858B9">
        <w:rPr>
          <w:lang w:val="de-DE"/>
        </w:rPr>
        <w:t xml:space="preserve"> báo cáo đánh giá</w:t>
      </w:r>
      <w:r w:rsidRPr="00F858B9">
        <w:rPr>
          <w:lang w:val="vi-VN"/>
        </w:rPr>
        <w:t xml:space="preserve"> tình hình thực hiện </w:t>
      </w:r>
      <w:r w:rsidRPr="00F858B9">
        <w:rPr>
          <w:lang w:val="de-DE"/>
        </w:rPr>
        <w:t xml:space="preserve">dự toán thu, chi ngân sách 6 tháng đầu năm và phương hướng nhiệm vụ thu, chi 6 tháng cuối năm </w:t>
      </w:r>
      <w:r w:rsidRPr="00F858B9">
        <w:rPr>
          <w:lang w:val="da-DK"/>
        </w:rPr>
        <w:t>2018 trên địa bàn</w:t>
      </w:r>
      <w:r w:rsidRPr="00F858B9">
        <w:rPr>
          <w:lang w:val="de-DE"/>
        </w:rPr>
        <w:t xml:space="preserve"> huyện. UBND huyện báo cáo HĐND huyện khóa X, kỳ họp thứ 6 xem xét</w:t>
      </w:r>
      <w:r w:rsidRPr="00F858B9">
        <w:rPr>
          <w:lang w:val="nl-NL"/>
        </w:rPr>
        <w:t>./.</w:t>
      </w:r>
    </w:p>
    <w:tbl>
      <w:tblPr>
        <w:tblW w:w="0" w:type="auto"/>
        <w:tblInd w:w="108" w:type="dxa"/>
        <w:tblLook w:val="04A0"/>
      </w:tblPr>
      <w:tblGrid>
        <w:gridCol w:w="4672"/>
        <w:gridCol w:w="4791"/>
      </w:tblGrid>
      <w:tr w:rsidR="002D42FA" w:rsidRPr="00572CF5" w:rsidTr="00285795">
        <w:tc>
          <w:tcPr>
            <w:tcW w:w="4672" w:type="dxa"/>
          </w:tcPr>
          <w:p w:rsidR="002D42FA" w:rsidRPr="00524C2E" w:rsidRDefault="002D42FA" w:rsidP="007C0EFA">
            <w:pPr>
              <w:jc w:val="both"/>
              <w:rPr>
                <w:b/>
                <w:bCs/>
                <w:i/>
                <w:iCs/>
                <w:sz w:val="14"/>
                <w:lang w:val="nl-NL"/>
              </w:rPr>
            </w:pPr>
          </w:p>
          <w:p w:rsidR="002D42FA" w:rsidRPr="009B42DA" w:rsidRDefault="002D42FA" w:rsidP="007C0EFA">
            <w:pPr>
              <w:jc w:val="both"/>
              <w:rPr>
                <w:b/>
                <w:bCs/>
                <w:sz w:val="24"/>
                <w:szCs w:val="24"/>
                <w:lang w:val="nl-NL"/>
              </w:rPr>
            </w:pPr>
            <w:r w:rsidRPr="009B42DA">
              <w:rPr>
                <w:b/>
                <w:bCs/>
                <w:i/>
                <w:iCs/>
                <w:sz w:val="24"/>
                <w:szCs w:val="24"/>
                <w:lang w:val="nl-NL"/>
              </w:rPr>
              <w:t>Nơi nhận:</w:t>
            </w:r>
            <w:r w:rsidRPr="009B42DA">
              <w:rPr>
                <w:b/>
                <w:bCs/>
                <w:sz w:val="24"/>
                <w:szCs w:val="24"/>
                <w:lang w:val="nl-NL"/>
              </w:rPr>
              <w:t xml:space="preserve">                                                                       </w:t>
            </w:r>
          </w:p>
          <w:p w:rsidR="002D42FA" w:rsidRDefault="002D42FA" w:rsidP="007C0EFA">
            <w:pPr>
              <w:rPr>
                <w:sz w:val="22"/>
                <w:lang w:val="nl-NL"/>
              </w:rPr>
            </w:pPr>
            <w:r w:rsidRPr="00572CF5">
              <w:rPr>
                <w:sz w:val="22"/>
                <w:lang w:val="nl-NL"/>
              </w:rPr>
              <w:t>-</w:t>
            </w:r>
            <w:r>
              <w:rPr>
                <w:sz w:val="22"/>
                <w:lang w:val="nl-NL"/>
              </w:rPr>
              <w:t xml:space="preserve"> Hội đồng nhân dân huyện</w:t>
            </w:r>
            <w:r w:rsidRPr="00572CF5">
              <w:rPr>
                <w:sz w:val="22"/>
                <w:lang w:val="nl-NL"/>
              </w:rPr>
              <w:t xml:space="preserve"> (Báo cáo);</w:t>
            </w:r>
          </w:p>
          <w:p w:rsidR="002D42FA" w:rsidRPr="00572CF5" w:rsidRDefault="002D42FA" w:rsidP="007C0EFA">
            <w:pPr>
              <w:rPr>
                <w:sz w:val="22"/>
                <w:lang w:val="nl-NL"/>
              </w:rPr>
            </w:pPr>
            <w:r>
              <w:rPr>
                <w:sz w:val="22"/>
                <w:lang w:val="nl-NL"/>
              </w:rPr>
              <w:t>- Chủ tịch, các Phó CT</w:t>
            </w:r>
            <w:r w:rsidRPr="00572CF5">
              <w:rPr>
                <w:sz w:val="22"/>
                <w:lang w:val="nl-NL"/>
              </w:rPr>
              <w:t xml:space="preserve"> </w:t>
            </w:r>
            <w:r>
              <w:rPr>
                <w:sz w:val="22"/>
                <w:lang w:val="nl-NL"/>
              </w:rPr>
              <w:t>UBND huyện;</w:t>
            </w:r>
            <w:r w:rsidRPr="00572CF5">
              <w:rPr>
                <w:sz w:val="22"/>
                <w:lang w:val="nl-NL"/>
              </w:rPr>
              <w:t xml:space="preserve">                                                            </w:t>
            </w:r>
          </w:p>
          <w:p w:rsidR="002D42FA" w:rsidRPr="00572CF5" w:rsidRDefault="002D42FA" w:rsidP="007C0EFA">
            <w:pPr>
              <w:pStyle w:val="Heading2"/>
              <w:rPr>
                <w:b w:val="0"/>
                <w:sz w:val="22"/>
                <w:lang w:val="nl-NL"/>
              </w:rPr>
            </w:pPr>
            <w:r w:rsidRPr="00572CF5">
              <w:rPr>
                <w:b w:val="0"/>
                <w:sz w:val="22"/>
                <w:lang w:val="nl-NL"/>
              </w:rPr>
              <w:t>- Lưu: VT-</w:t>
            </w:r>
            <w:r>
              <w:rPr>
                <w:b w:val="0"/>
                <w:sz w:val="22"/>
                <w:lang w:val="nl-NL"/>
              </w:rPr>
              <w:t>LT</w:t>
            </w:r>
            <w:r>
              <w:rPr>
                <w:b w:val="0"/>
                <w:sz w:val="22"/>
                <w:vertAlign w:val="subscript"/>
                <w:lang w:val="nl-NL"/>
              </w:rPr>
              <w:t>KTH</w:t>
            </w:r>
            <w:r w:rsidRPr="00572CF5">
              <w:rPr>
                <w:b w:val="0"/>
                <w:sz w:val="22"/>
                <w:lang w:val="nl-NL"/>
              </w:rPr>
              <w:t>.</w:t>
            </w:r>
          </w:p>
          <w:p w:rsidR="002D42FA" w:rsidRPr="00572CF5" w:rsidRDefault="002D42FA" w:rsidP="007C0EFA">
            <w:pPr>
              <w:rPr>
                <w:lang w:val="nl-NL"/>
              </w:rPr>
            </w:pPr>
          </w:p>
          <w:p w:rsidR="002D42FA" w:rsidRPr="00572CF5" w:rsidRDefault="002D42FA" w:rsidP="007C0EFA">
            <w:pPr>
              <w:rPr>
                <w:lang w:val="nl-NL"/>
              </w:rPr>
            </w:pPr>
          </w:p>
          <w:p w:rsidR="002D42FA" w:rsidRPr="00572CF5" w:rsidRDefault="002D42FA" w:rsidP="007C0EFA">
            <w:pPr>
              <w:jc w:val="both"/>
              <w:rPr>
                <w:b/>
                <w:bCs/>
                <w:i/>
                <w:iCs/>
                <w:sz w:val="26"/>
                <w:lang w:val="nl-NL"/>
              </w:rPr>
            </w:pPr>
          </w:p>
        </w:tc>
        <w:tc>
          <w:tcPr>
            <w:tcW w:w="4791" w:type="dxa"/>
          </w:tcPr>
          <w:p w:rsidR="002D42FA" w:rsidRPr="00524C2E" w:rsidRDefault="002D42FA" w:rsidP="007C0EFA">
            <w:pPr>
              <w:jc w:val="center"/>
              <w:rPr>
                <w:b/>
                <w:bCs/>
                <w:sz w:val="14"/>
                <w:lang w:val="nl-NL"/>
              </w:rPr>
            </w:pPr>
          </w:p>
          <w:p w:rsidR="002D42FA" w:rsidRPr="00572CF5" w:rsidRDefault="002D42FA" w:rsidP="007C0EFA">
            <w:pPr>
              <w:jc w:val="center"/>
              <w:rPr>
                <w:b/>
                <w:bCs/>
                <w:lang w:val="nl-NL"/>
              </w:rPr>
            </w:pPr>
            <w:r w:rsidRPr="00572CF5">
              <w:rPr>
                <w:b/>
                <w:bCs/>
                <w:lang w:val="nl-NL"/>
              </w:rPr>
              <w:t>TM. UỶ BAN NHÂN DÂN</w:t>
            </w:r>
          </w:p>
          <w:p w:rsidR="002D42FA" w:rsidRDefault="002D42FA" w:rsidP="007C0EFA">
            <w:pPr>
              <w:jc w:val="center"/>
              <w:rPr>
                <w:b/>
                <w:lang w:val="nl-NL"/>
              </w:rPr>
            </w:pPr>
            <w:r w:rsidRPr="00572CF5">
              <w:rPr>
                <w:b/>
                <w:lang w:val="nl-NL"/>
              </w:rPr>
              <w:t>CHỦ TỊCH</w:t>
            </w:r>
          </w:p>
          <w:p w:rsidR="00F858B9" w:rsidRDefault="00F858B9" w:rsidP="007C0EFA">
            <w:pPr>
              <w:jc w:val="center"/>
              <w:rPr>
                <w:b/>
                <w:lang w:val="nl-NL"/>
              </w:rPr>
            </w:pPr>
            <w:r>
              <w:rPr>
                <w:b/>
                <w:lang w:val="nl-NL"/>
              </w:rPr>
              <w:t>(Đã ký)</w:t>
            </w:r>
          </w:p>
          <w:p w:rsidR="00F858B9" w:rsidRDefault="00F858B9" w:rsidP="007C0EFA">
            <w:pPr>
              <w:jc w:val="center"/>
              <w:rPr>
                <w:b/>
                <w:lang w:val="nl-NL"/>
              </w:rPr>
            </w:pPr>
          </w:p>
          <w:p w:rsidR="00F858B9" w:rsidRPr="00572CF5" w:rsidRDefault="00F858B9" w:rsidP="007C0EFA">
            <w:pPr>
              <w:jc w:val="center"/>
              <w:rPr>
                <w:lang w:val="nl-NL"/>
              </w:rPr>
            </w:pPr>
            <w:r>
              <w:rPr>
                <w:b/>
                <w:lang w:val="nl-NL"/>
              </w:rPr>
              <w:t>Nguyễn Ngọc Sâm</w:t>
            </w:r>
          </w:p>
          <w:p w:rsidR="002D42FA" w:rsidRPr="00572CF5" w:rsidRDefault="002D42FA" w:rsidP="007C0EFA">
            <w:pPr>
              <w:jc w:val="both"/>
              <w:rPr>
                <w:b/>
                <w:bCs/>
                <w:i/>
                <w:iCs/>
                <w:sz w:val="26"/>
                <w:lang w:val="nl-NL"/>
              </w:rPr>
            </w:pPr>
          </w:p>
        </w:tc>
      </w:tr>
    </w:tbl>
    <w:p w:rsidR="002D42FA" w:rsidRPr="00F9116F" w:rsidRDefault="002D42FA" w:rsidP="002D42FA">
      <w:pPr>
        <w:jc w:val="both"/>
        <w:rPr>
          <w:sz w:val="22"/>
          <w:lang w:val="nl-NL"/>
        </w:rPr>
      </w:pPr>
    </w:p>
    <w:p w:rsidR="00E619B6" w:rsidRDefault="00E619B6"/>
    <w:sectPr w:rsidR="00E619B6" w:rsidSect="00F858B9">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780" w:rsidRDefault="00CE6780" w:rsidP="00DF2527">
      <w:r>
        <w:separator/>
      </w:r>
    </w:p>
  </w:endnote>
  <w:endnote w:type="continuationSeparator" w:id="1">
    <w:p w:rsidR="00CE6780" w:rsidRDefault="00CE6780" w:rsidP="00DF25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93276"/>
      <w:docPartObj>
        <w:docPartGallery w:val="Page Numbers (Bottom of Page)"/>
        <w:docPartUnique/>
      </w:docPartObj>
    </w:sdtPr>
    <w:sdtContent>
      <w:p w:rsidR="00DF2527" w:rsidRDefault="00DF2527">
        <w:pPr>
          <w:pStyle w:val="Footer"/>
          <w:jc w:val="center"/>
        </w:pPr>
        <w:fldSimple w:instr=" PAGE   \* MERGEFORMAT ">
          <w:r>
            <w:rPr>
              <w:noProof/>
            </w:rPr>
            <w:t>1</w:t>
          </w:r>
        </w:fldSimple>
      </w:p>
    </w:sdtContent>
  </w:sdt>
  <w:p w:rsidR="00DF2527" w:rsidRDefault="00DF2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780" w:rsidRDefault="00CE6780" w:rsidP="00DF2527">
      <w:r>
        <w:separator/>
      </w:r>
    </w:p>
  </w:footnote>
  <w:footnote w:type="continuationSeparator" w:id="1">
    <w:p w:rsidR="00CE6780" w:rsidRDefault="00CE6780" w:rsidP="00DF25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2D42FA"/>
    <w:rsid w:val="001B73A1"/>
    <w:rsid w:val="00285795"/>
    <w:rsid w:val="002D42FA"/>
    <w:rsid w:val="00486948"/>
    <w:rsid w:val="0086205A"/>
    <w:rsid w:val="00B43735"/>
    <w:rsid w:val="00B80256"/>
    <w:rsid w:val="00CE6780"/>
    <w:rsid w:val="00DF2527"/>
    <w:rsid w:val="00E365DD"/>
    <w:rsid w:val="00E619B6"/>
    <w:rsid w:val="00F858B9"/>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FA"/>
    <w:pPr>
      <w:spacing w:before="0" w:after="0"/>
      <w:ind w:firstLine="0"/>
      <w:jc w:val="left"/>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2D42FA"/>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42FA"/>
    <w:rPr>
      <w:rFonts w:ascii="Times New Roman" w:eastAsia="Times New Roman" w:hAnsi="Times New Roman" w:cs="Times New Roman"/>
      <w:b/>
      <w:sz w:val="28"/>
      <w:szCs w:val="28"/>
    </w:rPr>
  </w:style>
  <w:style w:type="paragraph" w:styleId="Title">
    <w:name w:val="Title"/>
    <w:basedOn w:val="Normal"/>
    <w:link w:val="TitleChar"/>
    <w:qFormat/>
    <w:rsid w:val="002D42FA"/>
    <w:pPr>
      <w:jc w:val="center"/>
    </w:pPr>
    <w:rPr>
      <w:szCs w:val="24"/>
    </w:rPr>
  </w:style>
  <w:style w:type="character" w:customStyle="1" w:styleId="TitleChar">
    <w:name w:val="Title Char"/>
    <w:basedOn w:val="DefaultParagraphFont"/>
    <w:link w:val="Title"/>
    <w:rsid w:val="002D42FA"/>
    <w:rPr>
      <w:rFonts w:ascii="Times New Roman" w:eastAsia="Times New Roman" w:hAnsi="Times New Roman" w:cs="Times New Roman"/>
      <w:sz w:val="28"/>
      <w:szCs w:val="24"/>
    </w:rPr>
  </w:style>
  <w:style w:type="paragraph" w:styleId="NormalWeb">
    <w:name w:val="Normal (Web)"/>
    <w:basedOn w:val="Normal"/>
    <w:rsid w:val="002D42FA"/>
    <w:pPr>
      <w:spacing w:before="100" w:beforeAutospacing="1" w:after="100" w:afterAutospacing="1"/>
    </w:pPr>
    <w:rPr>
      <w:sz w:val="24"/>
      <w:szCs w:val="24"/>
      <w:lang w:val="vi-VN" w:eastAsia="vi-VN"/>
    </w:rPr>
  </w:style>
  <w:style w:type="paragraph" w:styleId="ListParagraph">
    <w:name w:val="List Paragraph"/>
    <w:basedOn w:val="Normal"/>
    <w:uiPriority w:val="34"/>
    <w:qFormat/>
    <w:rsid w:val="00F858B9"/>
    <w:pPr>
      <w:ind w:left="720"/>
      <w:contextualSpacing/>
    </w:pPr>
  </w:style>
  <w:style w:type="paragraph" w:styleId="Header">
    <w:name w:val="header"/>
    <w:basedOn w:val="Normal"/>
    <w:link w:val="HeaderChar"/>
    <w:uiPriority w:val="99"/>
    <w:semiHidden/>
    <w:unhideWhenUsed/>
    <w:rsid w:val="00DF2527"/>
    <w:pPr>
      <w:tabs>
        <w:tab w:val="center" w:pos="4680"/>
        <w:tab w:val="right" w:pos="9360"/>
      </w:tabs>
    </w:pPr>
  </w:style>
  <w:style w:type="character" w:customStyle="1" w:styleId="HeaderChar">
    <w:name w:val="Header Char"/>
    <w:basedOn w:val="DefaultParagraphFont"/>
    <w:link w:val="Header"/>
    <w:uiPriority w:val="99"/>
    <w:semiHidden/>
    <w:rsid w:val="00DF252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F2527"/>
    <w:pPr>
      <w:tabs>
        <w:tab w:val="center" w:pos="4680"/>
        <w:tab w:val="right" w:pos="9360"/>
      </w:tabs>
    </w:pPr>
  </w:style>
  <w:style w:type="character" w:customStyle="1" w:styleId="FooterChar">
    <w:name w:val="Footer Char"/>
    <w:basedOn w:val="DefaultParagraphFont"/>
    <w:link w:val="Footer"/>
    <w:uiPriority w:val="99"/>
    <w:rsid w:val="00DF252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1577</Words>
  <Characters>8989</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5</cp:revision>
  <dcterms:created xsi:type="dcterms:W3CDTF">2018-06-20T08:17:00Z</dcterms:created>
  <dcterms:modified xsi:type="dcterms:W3CDTF">2018-06-20T08:24:00Z</dcterms:modified>
</cp:coreProperties>
</file>