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4" w:type="dxa"/>
        <w:tblInd w:w="108" w:type="dxa"/>
        <w:tblLook w:val="04A0"/>
      </w:tblPr>
      <w:tblGrid>
        <w:gridCol w:w="3500"/>
        <w:gridCol w:w="6124"/>
      </w:tblGrid>
      <w:tr w:rsidR="00215650" w:rsidRPr="00732757" w:rsidTr="004E3FBB">
        <w:trPr>
          <w:trHeight w:val="833"/>
        </w:trPr>
        <w:tc>
          <w:tcPr>
            <w:tcW w:w="3500" w:type="dxa"/>
            <w:hideMark/>
          </w:tcPr>
          <w:p w:rsidR="00215650" w:rsidRPr="00732757" w:rsidRDefault="00215650" w:rsidP="004E3FBB">
            <w:pPr>
              <w:keepNext/>
              <w:jc w:val="center"/>
              <w:outlineLvl w:val="0"/>
              <w:rPr>
                <w:b/>
                <w:color w:val="auto"/>
                <w:sz w:val="26"/>
                <w:szCs w:val="28"/>
                <w:lang w:val="fr-FR"/>
              </w:rPr>
            </w:pPr>
            <w:r w:rsidRPr="00732757">
              <w:rPr>
                <w:b/>
                <w:color w:val="auto"/>
                <w:sz w:val="26"/>
                <w:szCs w:val="28"/>
                <w:lang w:val="fr-FR"/>
              </w:rPr>
              <w:t>UỶ BAN NHÂN DÂN</w:t>
            </w:r>
          </w:p>
          <w:p w:rsidR="00215650" w:rsidRPr="00732757" w:rsidRDefault="00215650" w:rsidP="004E3FBB">
            <w:pPr>
              <w:keepNext/>
              <w:jc w:val="center"/>
              <w:outlineLvl w:val="0"/>
              <w:rPr>
                <w:b/>
                <w:color w:val="auto"/>
                <w:szCs w:val="28"/>
                <w:lang w:val="fr-FR"/>
              </w:rPr>
            </w:pPr>
            <w:r w:rsidRPr="00942320">
              <w:rPr>
                <w:b/>
                <w:noProof/>
                <w:color w:val="auto"/>
                <w:sz w:val="26"/>
                <w:szCs w:val="28"/>
              </w:rPr>
              <w:pict>
                <v:shapetype id="_x0000_t32" coordsize="21600,21600" o:spt="32" o:oned="t" path="m,l21600,21600e" filled="f">
                  <v:path arrowok="t" fillok="f" o:connecttype="none"/>
                  <o:lock v:ext="edit" shapetype="t"/>
                </v:shapetype>
                <v:shape id="_x0000_s1027" type="#_x0000_t32" style="position:absolute;left:0;text-align:left;margin-left:59.65pt;margin-top:17.7pt;width:36.45pt;height:0;z-index:251661312" o:connectortype="straight"/>
              </w:pict>
            </w:r>
            <w:r w:rsidRPr="00732757">
              <w:rPr>
                <w:b/>
                <w:color w:val="auto"/>
                <w:sz w:val="26"/>
                <w:szCs w:val="28"/>
                <w:lang w:val="fr-FR"/>
              </w:rPr>
              <w:t>HUYỆN SA THẦY</w:t>
            </w:r>
          </w:p>
        </w:tc>
        <w:tc>
          <w:tcPr>
            <w:tcW w:w="6124" w:type="dxa"/>
            <w:hideMark/>
          </w:tcPr>
          <w:p w:rsidR="00215650" w:rsidRPr="00732757" w:rsidRDefault="00215650" w:rsidP="004E3FBB">
            <w:pPr>
              <w:keepNext/>
              <w:jc w:val="center"/>
              <w:outlineLvl w:val="1"/>
              <w:rPr>
                <w:b/>
                <w:color w:val="auto"/>
                <w:szCs w:val="28"/>
                <w:lang w:val="fr-FR"/>
              </w:rPr>
            </w:pPr>
            <w:r w:rsidRPr="00732757">
              <w:rPr>
                <w:b/>
                <w:color w:val="auto"/>
                <w:sz w:val="26"/>
                <w:szCs w:val="28"/>
                <w:lang w:val="fr-FR"/>
              </w:rPr>
              <w:t>CỘNG HÒA XÃ HỘI CHỦ NGHĨA VIỆT NAM</w:t>
            </w:r>
          </w:p>
          <w:p w:rsidR="00215650" w:rsidRPr="00732757" w:rsidRDefault="00215650" w:rsidP="004E3FBB">
            <w:pPr>
              <w:keepNext/>
              <w:jc w:val="center"/>
              <w:outlineLvl w:val="1"/>
              <w:rPr>
                <w:b/>
                <w:color w:val="auto"/>
                <w:szCs w:val="28"/>
              </w:rPr>
            </w:pPr>
            <w:r w:rsidRPr="00942320">
              <w:rPr>
                <w:color w:val="auto"/>
                <w:lang w:val="vi-VN" w:eastAsia="vi-VN" w:bidi="vi-VN"/>
              </w:rPr>
              <w:pict>
                <v:shape id="_x0000_s1026" type="#_x0000_t32" style="position:absolute;left:0;text-align:left;margin-left:61.05pt;margin-top:17.7pt;width:168.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32757">
              <w:rPr>
                <w:b/>
                <w:color w:val="auto"/>
                <w:szCs w:val="28"/>
              </w:rPr>
              <w:t xml:space="preserve">Độc lập </w:t>
            </w:r>
            <w:r w:rsidRPr="00732757">
              <w:rPr>
                <w:color w:val="auto"/>
                <w:szCs w:val="28"/>
              </w:rPr>
              <w:t>-</w:t>
            </w:r>
            <w:r w:rsidRPr="00732757">
              <w:rPr>
                <w:b/>
                <w:color w:val="auto"/>
                <w:szCs w:val="28"/>
              </w:rPr>
              <w:t xml:space="preserve"> Tự do </w:t>
            </w:r>
            <w:r w:rsidRPr="00732757">
              <w:rPr>
                <w:color w:val="auto"/>
                <w:szCs w:val="28"/>
              </w:rPr>
              <w:t>-</w:t>
            </w:r>
            <w:r w:rsidRPr="00732757">
              <w:rPr>
                <w:b/>
                <w:color w:val="auto"/>
                <w:szCs w:val="28"/>
              </w:rPr>
              <w:t xml:space="preserve"> Hạnh phúc</w:t>
            </w:r>
          </w:p>
        </w:tc>
      </w:tr>
      <w:tr w:rsidR="00215650" w:rsidRPr="00732757" w:rsidTr="004E3FBB">
        <w:trPr>
          <w:trHeight w:val="159"/>
        </w:trPr>
        <w:tc>
          <w:tcPr>
            <w:tcW w:w="3500" w:type="dxa"/>
            <w:hideMark/>
          </w:tcPr>
          <w:p w:rsidR="00215650" w:rsidRPr="00732757" w:rsidRDefault="00215650" w:rsidP="004E3FBB">
            <w:pPr>
              <w:spacing w:before="120"/>
              <w:jc w:val="center"/>
              <w:rPr>
                <w:bCs/>
                <w:color w:val="auto"/>
                <w:sz w:val="26"/>
                <w:szCs w:val="26"/>
              </w:rPr>
            </w:pPr>
            <w:r w:rsidRPr="00732757">
              <w:rPr>
                <w:bCs/>
                <w:color w:val="auto"/>
                <w:sz w:val="26"/>
                <w:szCs w:val="26"/>
              </w:rPr>
              <w:t xml:space="preserve">Số: </w:t>
            </w:r>
            <w:r>
              <w:rPr>
                <w:bCs/>
                <w:color w:val="auto"/>
                <w:sz w:val="26"/>
                <w:szCs w:val="26"/>
              </w:rPr>
              <w:t>291</w:t>
            </w:r>
            <w:r w:rsidRPr="00732757">
              <w:rPr>
                <w:bCs/>
                <w:color w:val="auto"/>
                <w:sz w:val="26"/>
                <w:szCs w:val="26"/>
              </w:rPr>
              <w:t>/</w:t>
            </w:r>
            <w:r>
              <w:rPr>
                <w:bCs/>
                <w:color w:val="auto"/>
                <w:sz w:val="26"/>
                <w:szCs w:val="26"/>
              </w:rPr>
              <w:t>TTr</w:t>
            </w:r>
            <w:r w:rsidRPr="00732757">
              <w:rPr>
                <w:bCs/>
                <w:color w:val="auto"/>
                <w:sz w:val="26"/>
                <w:szCs w:val="26"/>
              </w:rPr>
              <w:t>-UBND</w:t>
            </w:r>
          </w:p>
        </w:tc>
        <w:tc>
          <w:tcPr>
            <w:tcW w:w="6124" w:type="dxa"/>
            <w:hideMark/>
          </w:tcPr>
          <w:p w:rsidR="00215650" w:rsidRPr="00732757" w:rsidRDefault="00215650" w:rsidP="004E3FBB">
            <w:pPr>
              <w:keepNext/>
              <w:spacing w:before="120"/>
              <w:outlineLvl w:val="4"/>
              <w:rPr>
                <w:bCs/>
                <w:i/>
                <w:color w:val="auto"/>
                <w:szCs w:val="28"/>
              </w:rPr>
            </w:pPr>
            <w:r w:rsidRPr="00732757">
              <w:rPr>
                <w:bCs/>
                <w:i/>
                <w:color w:val="auto"/>
                <w:szCs w:val="28"/>
              </w:rPr>
              <w:t xml:space="preserve">             Sa Thầy, ngày </w:t>
            </w:r>
            <w:r>
              <w:rPr>
                <w:bCs/>
                <w:i/>
                <w:color w:val="auto"/>
                <w:szCs w:val="28"/>
              </w:rPr>
              <w:t>14</w:t>
            </w:r>
            <w:r w:rsidRPr="00732757">
              <w:rPr>
                <w:bCs/>
                <w:i/>
                <w:color w:val="auto"/>
                <w:szCs w:val="28"/>
              </w:rPr>
              <w:t xml:space="preserve"> tháng 12 năm 2017</w:t>
            </w:r>
          </w:p>
        </w:tc>
      </w:tr>
    </w:tbl>
    <w:p w:rsidR="00215650" w:rsidRDefault="00215650" w:rsidP="00215650">
      <w:pPr>
        <w:jc w:val="center"/>
        <w:rPr>
          <w:b/>
        </w:rPr>
      </w:pPr>
    </w:p>
    <w:p w:rsidR="00215650" w:rsidRPr="0004758D" w:rsidRDefault="00215650" w:rsidP="00215650">
      <w:pPr>
        <w:jc w:val="center"/>
        <w:rPr>
          <w:b/>
          <w:color w:val="auto"/>
        </w:rPr>
      </w:pPr>
      <w:r w:rsidRPr="0004758D">
        <w:rPr>
          <w:b/>
          <w:color w:val="auto"/>
        </w:rPr>
        <w:t>TỜ TRÌNH</w:t>
      </w:r>
    </w:p>
    <w:p w:rsidR="00215650" w:rsidRPr="0004758D" w:rsidRDefault="00215650" w:rsidP="00215650">
      <w:pPr>
        <w:jc w:val="center"/>
        <w:rPr>
          <w:b/>
          <w:color w:val="auto"/>
        </w:rPr>
      </w:pPr>
      <w:r w:rsidRPr="0004758D">
        <w:rPr>
          <w:b/>
          <w:color w:val="auto"/>
        </w:rPr>
        <w:t xml:space="preserve">Về việc xin phê duyệt Kế hoạch đầu tư nguồn </w:t>
      </w:r>
    </w:p>
    <w:p w:rsidR="00215650" w:rsidRPr="0004758D" w:rsidRDefault="00215650" w:rsidP="00215650">
      <w:pPr>
        <w:jc w:val="center"/>
        <w:rPr>
          <w:b/>
          <w:color w:val="auto"/>
        </w:rPr>
      </w:pPr>
      <w:r w:rsidRPr="0004758D">
        <w:rPr>
          <w:b/>
          <w:color w:val="auto"/>
        </w:rPr>
        <w:t>ngân sách nhà nước năm 2018 huyện Sa Thầy</w:t>
      </w:r>
    </w:p>
    <w:p w:rsidR="00215650" w:rsidRPr="0004758D" w:rsidRDefault="00215650" w:rsidP="00215650">
      <w:pPr>
        <w:rPr>
          <w:color w:val="auto"/>
        </w:rPr>
      </w:pPr>
      <w:r w:rsidRPr="00942320">
        <w:rPr>
          <w:b/>
          <w:noProof/>
          <w:color w:val="auto"/>
        </w:rPr>
        <w:pict>
          <v:shape id="_x0000_s1028" type="#_x0000_t32" style="position:absolute;margin-left:214.75pt;margin-top:1.55pt;width:33.05pt;height:0;z-index:251662336" o:connectortype="straight"/>
        </w:pict>
      </w:r>
    </w:p>
    <w:p w:rsidR="00215650" w:rsidRPr="0004758D" w:rsidRDefault="00215650" w:rsidP="00215650">
      <w:pPr>
        <w:jc w:val="center"/>
        <w:rPr>
          <w:color w:val="auto"/>
        </w:rPr>
      </w:pPr>
      <w:r w:rsidRPr="0004758D">
        <w:rPr>
          <w:color w:val="auto"/>
        </w:rPr>
        <w:t>Kính gửi: Hội đồng nhân dân huyện Sa Thầy.</w:t>
      </w:r>
    </w:p>
    <w:p w:rsidR="00215650" w:rsidRPr="0004758D" w:rsidRDefault="00215650" w:rsidP="00215650">
      <w:pPr>
        <w:jc w:val="center"/>
        <w:rPr>
          <w:color w:val="auto"/>
        </w:rPr>
      </w:pPr>
    </w:p>
    <w:p w:rsidR="00215650" w:rsidRPr="0004758D" w:rsidRDefault="00215650" w:rsidP="00215650">
      <w:pPr>
        <w:spacing w:before="120" w:after="120"/>
        <w:ind w:firstLine="709"/>
        <w:jc w:val="both"/>
        <w:rPr>
          <w:color w:val="auto"/>
        </w:rPr>
      </w:pPr>
      <w:r w:rsidRPr="0004758D">
        <w:rPr>
          <w:color w:val="auto"/>
        </w:rPr>
        <w:t>Căn cứ Luật Đầu tư công năm 2014; Nghị định số 77/2015/NĐ-CP ngày 10/9/2015 của Chính phủ về Kế hoạch đầu tư công trung hạn và hằng năm; Nghị quyết 70/NQ-CP ngày 03/8/2017 của Thủ tướng Chính phủ về những nhiệm vụ, giải pháp chủ yếu đẩy nhanh tiến độ thực hiện và giải ngân kế hoạch vốn đầu tư công; Nghị quyết số 24/2015/NQ-HĐND ngày 10/12/2015 của Hội đồng nhân dân tỉnh về việc ban hành các nguyên tắc, tiêu chí và định mức phân bổ kế hoạch vốn đầu tư phát triển nguồn ngân sách nhà nước tỉnh Kon Tum giai đoạn 2016-2020; Nghị quyết số 69/2016/NQ-HĐND ngày 09/12/2016 của HĐND tỉnh về Kế hoạch đầu tư công trung hạn giai đoạn 2016-2020; Quyết định số 1506/QĐ-UBND ngày 09/12/2016 của UBND tỉnh về phê duyệt Kế hoạch đầu tư công trung hạn giai đoạn 2016-2020; Chỉ thị số 05/CT-UBND ngày 17/7/2017 của Ủy ban nhân dân tỉnh về việc triển khai xây dựng Kế hoạch phát triển kinh tế - xã hội và dự toán ngân sách nhà nước năm 2018; Nghị quyết số 48/2016/NQ-HĐND ngày 20/12/2016 của HĐND huyện về phê duyệt Kế hoạch đầu tư công trung hạn giai đoạn 2016-2020; Nghị quyết số 01/2017/NQ-HĐND ngày 18/4/2017 của HĐND huyện về việc điều chỉnh, bổ sung Kế hoạch đầu tư công trung hạn giai đoạn 2016-2020;</w:t>
      </w:r>
    </w:p>
    <w:p w:rsidR="00215650" w:rsidRPr="0004758D" w:rsidRDefault="00215650" w:rsidP="00215650">
      <w:pPr>
        <w:spacing w:before="120" w:after="120"/>
        <w:ind w:firstLine="709"/>
        <w:jc w:val="both"/>
        <w:rPr>
          <w:color w:val="auto"/>
        </w:rPr>
      </w:pPr>
      <w:r w:rsidRPr="0004758D">
        <w:rPr>
          <w:color w:val="auto"/>
        </w:rPr>
        <w:t>Căn cứ Công văn số 38/HĐND-TH ngày 27/10/2017 của Thường trực HĐND huyện về việc phê duyệt chủ trương đầu tư dự án Trung tâm Văn hóa - Thể thao huyện Sa Thầy;</w:t>
      </w:r>
    </w:p>
    <w:p w:rsidR="00215650" w:rsidRPr="0004758D" w:rsidRDefault="00215650" w:rsidP="00215650">
      <w:pPr>
        <w:spacing w:before="120" w:after="120"/>
        <w:ind w:firstLine="709"/>
        <w:jc w:val="both"/>
        <w:rPr>
          <w:color w:val="auto"/>
        </w:rPr>
      </w:pPr>
      <w:r w:rsidRPr="0004758D">
        <w:rPr>
          <w:color w:val="auto"/>
        </w:rPr>
        <w:t>Ủy ban nhân dân huyện Sa Thầy kính trình Hội đồng nhân dân huyện xem xét thông qua Nghị quyết về Kế hoạch đầu tư nguồn ngân sách nhà nước năm 2018 huyện Sa Thầy, như sau:</w:t>
      </w:r>
    </w:p>
    <w:p w:rsidR="00215650" w:rsidRPr="0004758D" w:rsidRDefault="00215650" w:rsidP="00215650">
      <w:pPr>
        <w:spacing w:before="120" w:after="120"/>
        <w:ind w:firstLine="709"/>
        <w:jc w:val="both"/>
        <w:rPr>
          <w:b/>
          <w:color w:val="auto"/>
        </w:rPr>
      </w:pPr>
      <w:r w:rsidRPr="0004758D">
        <w:rPr>
          <w:b/>
          <w:color w:val="auto"/>
        </w:rPr>
        <w:t>1. Sự cần thiết ban hành văn bản</w:t>
      </w:r>
    </w:p>
    <w:p w:rsidR="00215650" w:rsidRDefault="00215650" w:rsidP="00215650">
      <w:pPr>
        <w:spacing w:before="120" w:after="120"/>
        <w:ind w:firstLine="709"/>
        <w:jc w:val="both"/>
        <w:rPr>
          <w:b/>
          <w:color w:val="auto"/>
        </w:rPr>
      </w:pPr>
      <w:r w:rsidRPr="0004758D">
        <w:rPr>
          <w:color w:val="auto"/>
        </w:rPr>
        <w:t>Thực hiện quy định tại Điều 68 Luật Đầu tư công, việc ban hành Nghị quyết về Kế hoạch đầu tư nguồn ngân sách nhà nước năm 2018 huyện Sa Thầy là cơ sở để Ủy ban nhân dân huyện tổ chức, chỉ đạo các cơ quan, đơn vị và các địa phương triển khai thực hiện kế hoạch đầu tư năm 2018 nhằm góp phần thực hiện có hiệu quả Kế hoạch đầu tư công trung hạn giai đoạn 2016-2020 và Kế hoạch phát triển kinh tế - xã hội 5 năm giai đoạn 2016-2020 của huyện. Vì vậy, việc Ủy ban nhân dân huyện trình Hội đồng nhân dân huyện ban hành Nghị quyết phê duyệt Kế hoạch đầu tư nguồn ngân sách nhà nước năm 2018 huyện Sa Thầy là phù hợp quy định của pháp luật.</w:t>
      </w:r>
      <w:bookmarkStart w:id="0" w:name="bookmark111"/>
    </w:p>
    <w:p w:rsidR="00215650" w:rsidRPr="0004758D" w:rsidRDefault="00215650" w:rsidP="00215650">
      <w:pPr>
        <w:spacing w:before="120" w:after="120"/>
        <w:ind w:firstLine="709"/>
        <w:jc w:val="both"/>
        <w:rPr>
          <w:b/>
          <w:color w:val="auto"/>
        </w:rPr>
      </w:pPr>
      <w:r w:rsidRPr="0004758D">
        <w:rPr>
          <w:b/>
          <w:color w:val="auto"/>
        </w:rPr>
        <w:lastRenderedPageBreak/>
        <w:t>2. Về quan điềm chỉ đạo việc xây dựng Nghị quyết</w:t>
      </w:r>
      <w:bookmarkEnd w:id="0"/>
    </w:p>
    <w:p w:rsidR="00215650" w:rsidRPr="0004758D" w:rsidRDefault="00215650" w:rsidP="00215650">
      <w:pPr>
        <w:spacing w:before="120" w:after="120"/>
        <w:ind w:firstLine="709"/>
        <w:jc w:val="both"/>
        <w:rPr>
          <w:color w:val="auto"/>
        </w:rPr>
      </w:pPr>
      <w:r w:rsidRPr="0004758D">
        <w:rPr>
          <w:color w:val="auto"/>
        </w:rPr>
        <w:t>Dự thảo Nghị quyết phải tuân thủ theo các quy định tại Luật Đầu tư công, Nghị định số 77/2015/NĐ-CP của Chính phủ, Nghị quyết số 24/2015/NQ-HĐND ngày 10/12/2015 của Hội đồng nhân dân tỉnh về ban hành nguyên tắc, tiêu chí và định mức phân bổ vốn đầu tư phát triển nguồn ngân sách nhà nước giai đaọn 2016- 2020 tỉnh Kon Tum; các quy định khác của Trung ương. Việc lựa chọn danh mục dự án và mức vốn bố trí cho từng dự án để đưa vào thực hiện trong kế hoạch năm 2018 phải phù hợp Kế hoạch đầu tư công trung hạn giai đoạn 2016-2020 đã được Hội đồng nhân dân huyện thông qua tại Nghị quyết số 01/2017/NQ-HĐND ngày 18/4/2017 của HĐND huyện về việc điều chỉnh, bổ sung Kế hoạch đầu tư công trung hạn giai đoạn 2016-2020 và khả năng cân đối của từng nguồn vốn; các dự án lựa chọn đầu tư phải đảm bảo hoàn thành đúng tiến độ.</w:t>
      </w:r>
    </w:p>
    <w:p w:rsidR="00215650" w:rsidRPr="0004758D" w:rsidRDefault="00215650" w:rsidP="00215650">
      <w:pPr>
        <w:spacing w:before="120" w:after="120"/>
        <w:ind w:firstLine="709"/>
        <w:jc w:val="both"/>
        <w:rPr>
          <w:b/>
          <w:color w:val="auto"/>
        </w:rPr>
      </w:pPr>
      <w:bookmarkStart w:id="1" w:name="bookmark112"/>
      <w:r w:rsidRPr="0004758D">
        <w:rPr>
          <w:b/>
          <w:color w:val="auto"/>
        </w:rPr>
        <w:t>3. Quá trình xây dựng Nghị quyết</w:t>
      </w:r>
      <w:bookmarkEnd w:id="1"/>
    </w:p>
    <w:p w:rsidR="00215650" w:rsidRPr="0004758D" w:rsidRDefault="00215650" w:rsidP="00215650">
      <w:pPr>
        <w:spacing w:before="120" w:after="120"/>
        <w:ind w:firstLine="709"/>
        <w:jc w:val="both"/>
        <w:rPr>
          <w:color w:val="auto"/>
        </w:rPr>
      </w:pPr>
      <w:r w:rsidRPr="0004758D">
        <w:rPr>
          <w:color w:val="auto"/>
        </w:rPr>
        <w:t xml:space="preserve">Dự thảo Nghị quyết được cơ quan chủ trì </w:t>
      </w:r>
      <w:r w:rsidRPr="0004758D">
        <w:rPr>
          <w:i/>
          <w:color w:val="auto"/>
        </w:rPr>
        <w:t>(Phòng Tài chính – Kế hoạch)</w:t>
      </w:r>
      <w:r w:rsidRPr="0004758D">
        <w:rPr>
          <w:color w:val="auto"/>
        </w:rPr>
        <w:t xml:space="preserve"> xây dựng, tổ chức lấy ý kiến các cơ quan có liên quan và ý kiến thẩm định của Phòng Tư pháp. Trên cơ sở đó, cơ quan chủ trì hoàn chỉnh dự thảo Nghị quyết, trình Ủy ban nhân dân huyện xem xét, trình Hội đồng nhân dân huyện.</w:t>
      </w:r>
    </w:p>
    <w:p w:rsidR="00215650" w:rsidRPr="0004758D" w:rsidRDefault="00215650" w:rsidP="00215650">
      <w:pPr>
        <w:spacing w:before="120" w:after="120"/>
        <w:ind w:firstLine="709"/>
        <w:jc w:val="both"/>
        <w:rPr>
          <w:b/>
          <w:color w:val="auto"/>
        </w:rPr>
      </w:pPr>
      <w:bookmarkStart w:id="2" w:name="bookmark113"/>
      <w:r w:rsidRPr="0004758D">
        <w:rPr>
          <w:b/>
          <w:color w:val="auto"/>
        </w:rPr>
        <w:t>4. Bố cục và nội dung cơ bản Nghị quyết</w:t>
      </w:r>
      <w:bookmarkEnd w:id="2"/>
    </w:p>
    <w:p w:rsidR="00215650" w:rsidRPr="0004758D" w:rsidRDefault="00215650" w:rsidP="00215650">
      <w:pPr>
        <w:spacing w:before="120" w:after="120"/>
        <w:ind w:firstLine="709"/>
        <w:jc w:val="both"/>
        <w:rPr>
          <w:color w:val="auto"/>
        </w:rPr>
      </w:pPr>
      <w:r w:rsidRPr="0004758D">
        <w:rPr>
          <w:color w:val="auto"/>
        </w:rPr>
        <w:t>Nghị quyết gồm có 3 Điều, nội dung cơ bản của các điều như sau:</w:t>
      </w:r>
    </w:p>
    <w:p w:rsidR="00215650" w:rsidRPr="0004758D" w:rsidRDefault="00215650" w:rsidP="00215650">
      <w:pPr>
        <w:spacing w:before="120" w:after="120"/>
        <w:ind w:firstLine="709"/>
        <w:jc w:val="both"/>
        <w:rPr>
          <w:color w:val="auto"/>
        </w:rPr>
      </w:pPr>
      <w:r w:rsidRPr="0004758D">
        <w:rPr>
          <w:b/>
          <w:color w:val="auto"/>
        </w:rPr>
        <w:t xml:space="preserve">Điều 1. </w:t>
      </w:r>
      <w:r w:rsidRPr="0004758D">
        <w:rPr>
          <w:color w:val="auto"/>
        </w:rPr>
        <w:t>Phê duyệt Kế hoạch đầu tư nguồn ngân sách địa phương và các nguồn vốn Trung ương được Ủy ban nhân dân tỉnh phân cấp cho địa phương phân bổ năm 2018, gồm: Phê duyệt tổng kế hoạch vốn, danh mục, mức vốn phân bổ cho các dự án và ủy quyền cho Thường trực Hội đồng nhân dân xem xét, quyết định một các một số nội dung thuộc thẩm quyền; Ủy ban nhân dân huyện xem xét, quyết định và báo cáo Thường trực Hội đồng nhân dân huyện: Phân bổ chi tiết nguồn thu tiền sử dụng đất từ các dự án khai thác quỹ đất do cấp huyện quản lý.</w:t>
      </w:r>
    </w:p>
    <w:p w:rsidR="00215650" w:rsidRPr="0004758D" w:rsidRDefault="00215650" w:rsidP="00215650">
      <w:pPr>
        <w:spacing w:before="120" w:after="120"/>
        <w:ind w:firstLine="709"/>
        <w:jc w:val="both"/>
        <w:rPr>
          <w:i/>
          <w:color w:val="auto"/>
        </w:rPr>
      </w:pPr>
      <w:r w:rsidRPr="0004758D">
        <w:rPr>
          <w:b/>
          <w:color w:val="auto"/>
        </w:rPr>
        <w:t xml:space="preserve">Điều 2. </w:t>
      </w:r>
      <w:r w:rsidRPr="0004758D">
        <w:rPr>
          <w:color w:val="auto"/>
        </w:rPr>
        <w:t xml:space="preserve">Quy định các nội dung liên quan đối với nguồn vốn đầu tư năm 2018 của huyện thuộc thẩm quyền quyết định của Ủy ban nhân dân tỉnh </w:t>
      </w:r>
      <w:r w:rsidRPr="0004758D">
        <w:rPr>
          <w:i/>
          <w:color w:val="auto"/>
        </w:rPr>
        <w:t>(vốn các Chương trình mục tiêu, trái phiếu Chính phủ...).</w:t>
      </w:r>
    </w:p>
    <w:p w:rsidR="00215650" w:rsidRPr="0004758D" w:rsidRDefault="00215650" w:rsidP="00215650">
      <w:pPr>
        <w:spacing w:before="120" w:after="120"/>
        <w:ind w:firstLine="709"/>
        <w:jc w:val="both"/>
        <w:rPr>
          <w:i/>
          <w:color w:val="auto"/>
        </w:rPr>
      </w:pPr>
      <w:r w:rsidRPr="0004758D">
        <w:rPr>
          <w:i/>
          <w:color w:val="auto"/>
        </w:rPr>
        <w:t>(Có Báo cáo Kế hoạch đầu tư nguồn ngân sách nhà nước năm 2018 và dự thảo Nghị quyết kèm theo).</w:t>
      </w:r>
    </w:p>
    <w:p w:rsidR="00215650" w:rsidRDefault="00215650" w:rsidP="00215650">
      <w:pPr>
        <w:spacing w:before="120" w:after="120"/>
        <w:ind w:firstLine="709"/>
        <w:jc w:val="both"/>
        <w:rPr>
          <w:color w:val="auto"/>
        </w:rPr>
      </w:pPr>
      <w:r w:rsidRPr="0004758D">
        <w:rPr>
          <w:color w:val="auto"/>
        </w:rPr>
        <w:t>Trên đây là Tờ trình về Nghị quyết phế duyệt Kế hoạch đầu tư nguồn ngân sách nhà nước năm 2018 huyện Sa Thầy. Ủy ban nhân dân huyện kính trình Hội đồng nhân dân huyện khóa X, kỳ họp thứ 5 xem xét, quyết định./.</w:t>
      </w:r>
    </w:p>
    <w:tbl>
      <w:tblPr>
        <w:tblW w:w="9643" w:type="dxa"/>
        <w:tblInd w:w="108" w:type="dxa"/>
        <w:tblLook w:val="04A0"/>
      </w:tblPr>
      <w:tblGrid>
        <w:gridCol w:w="4675"/>
        <w:gridCol w:w="4968"/>
      </w:tblGrid>
      <w:tr w:rsidR="00215650" w:rsidRPr="00732757" w:rsidTr="004E3FBB">
        <w:trPr>
          <w:trHeight w:val="1826"/>
        </w:trPr>
        <w:tc>
          <w:tcPr>
            <w:tcW w:w="4675" w:type="dxa"/>
          </w:tcPr>
          <w:p w:rsidR="00215650" w:rsidRPr="00732757" w:rsidRDefault="00215650" w:rsidP="004E3FBB">
            <w:pPr>
              <w:jc w:val="both"/>
              <w:rPr>
                <w:bCs/>
                <w:color w:val="auto"/>
                <w:sz w:val="24"/>
              </w:rPr>
            </w:pPr>
            <w:r w:rsidRPr="00732757">
              <w:rPr>
                <w:b/>
                <w:i/>
                <w:iCs/>
                <w:color w:val="auto"/>
                <w:sz w:val="24"/>
              </w:rPr>
              <w:t>Nơi nhận</w:t>
            </w:r>
            <w:r w:rsidRPr="00732757">
              <w:rPr>
                <w:bCs/>
                <w:color w:val="auto"/>
                <w:sz w:val="24"/>
              </w:rPr>
              <w:t>:</w:t>
            </w:r>
          </w:p>
          <w:p w:rsidR="00215650" w:rsidRDefault="00215650" w:rsidP="004E3FBB">
            <w:pPr>
              <w:jc w:val="both"/>
              <w:rPr>
                <w:bCs/>
                <w:color w:val="auto"/>
                <w:sz w:val="22"/>
              </w:rPr>
            </w:pPr>
            <w:r w:rsidRPr="00732757">
              <w:rPr>
                <w:bCs/>
                <w:color w:val="auto"/>
                <w:sz w:val="22"/>
              </w:rPr>
              <w:t xml:space="preserve">- </w:t>
            </w:r>
            <w:r>
              <w:rPr>
                <w:bCs/>
                <w:color w:val="auto"/>
                <w:sz w:val="22"/>
              </w:rPr>
              <w:t>Như trên;</w:t>
            </w:r>
          </w:p>
          <w:p w:rsidR="00215650" w:rsidRPr="00732757" w:rsidRDefault="00215650" w:rsidP="004E3FBB">
            <w:pPr>
              <w:jc w:val="both"/>
              <w:rPr>
                <w:bCs/>
                <w:color w:val="auto"/>
                <w:sz w:val="22"/>
              </w:rPr>
            </w:pPr>
            <w:r>
              <w:rPr>
                <w:bCs/>
                <w:color w:val="auto"/>
                <w:sz w:val="22"/>
              </w:rPr>
              <w:t>- CT, các PCT UBND huyện;</w:t>
            </w:r>
          </w:p>
          <w:p w:rsidR="00215650" w:rsidRPr="00732757" w:rsidRDefault="00215650" w:rsidP="004E3FBB">
            <w:pPr>
              <w:widowControl w:val="0"/>
              <w:jc w:val="both"/>
              <w:rPr>
                <w:bCs/>
                <w:color w:val="auto"/>
                <w:sz w:val="24"/>
                <w:szCs w:val="28"/>
                <w:lang w:val="vi-VN" w:eastAsia="vi-VN" w:bidi="vi-VN"/>
              </w:rPr>
            </w:pPr>
            <w:r w:rsidRPr="00732757">
              <w:rPr>
                <w:bCs/>
                <w:color w:val="auto"/>
                <w:sz w:val="22"/>
              </w:rPr>
              <w:t>- Lưu: VT-LT.</w:t>
            </w:r>
          </w:p>
        </w:tc>
        <w:tc>
          <w:tcPr>
            <w:tcW w:w="4968" w:type="dxa"/>
          </w:tcPr>
          <w:p w:rsidR="00215650" w:rsidRPr="00732757" w:rsidRDefault="00215650" w:rsidP="004E3FBB">
            <w:pPr>
              <w:jc w:val="center"/>
              <w:rPr>
                <w:b/>
                <w:bCs/>
                <w:color w:val="auto"/>
                <w:szCs w:val="28"/>
              </w:rPr>
            </w:pPr>
            <w:r w:rsidRPr="00732757">
              <w:rPr>
                <w:b/>
                <w:bCs/>
                <w:color w:val="auto"/>
                <w:szCs w:val="28"/>
              </w:rPr>
              <w:t>TM. UỶ BAN NHÂN DÂN</w:t>
            </w:r>
          </w:p>
          <w:p w:rsidR="00215650" w:rsidRPr="00732757" w:rsidRDefault="00215650" w:rsidP="004E3FBB">
            <w:pPr>
              <w:jc w:val="center"/>
              <w:rPr>
                <w:b/>
                <w:color w:val="auto"/>
                <w:szCs w:val="28"/>
              </w:rPr>
            </w:pPr>
            <w:r w:rsidRPr="00732757">
              <w:rPr>
                <w:b/>
                <w:color w:val="auto"/>
                <w:szCs w:val="28"/>
              </w:rPr>
              <w:t>CHỦ TỊCH</w:t>
            </w:r>
          </w:p>
          <w:p w:rsidR="00215650" w:rsidRDefault="00215650" w:rsidP="004E3FBB">
            <w:pPr>
              <w:widowControl w:val="0"/>
              <w:jc w:val="center"/>
              <w:rPr>
                <w:b/>
                <w:bCs/>
                <w:color w:val="auto"/>
                <w:szCs w:val="28"/>
                <w:lang w:eastAsia="vi-VN" w:bidi="vi-VN"/>
              </w:rPr>
            </w:pPr>
            <w:r w:rsidRPr="00732757">
              <w:rPr>
                <w:b/>
                <w:bCs/>
                <w:color w:val="auto"/>
                <w:szCs w:val="28"/>
                <w:lang w:eastAsia="vi-VN" w:bidi="vi-VN"/>
              </w:rPr>
              <w:t xml:space="preserve"> (Đã ký)</w:t>
            </w:r>
          </w:p>
          <w:p w:rsidR="00215650" w:rsidRPr="00732757" w:rsidRDefault="00215650" w:rsidP="004E3FBB">
            <w:pPr>
              <w:widowControl w:val="0"/>
              <w:jc w:val="center"/>
              <w:rPr>
                <w:b/>
                <w:bCs/>
                <w:color w:val="auto"/>
                <w:szCs w:val="28"/>
                <w:lang w:eastAsia="vi-VN" w:bidi="vi-VN"/>
              </w:rPr>
            </w:pPr>
          </w:p>
          <w:p w:rsidR="00215650" w:rsidRPr="00732757" w:rsidRDefault="00215650" w:rsidP="004E3FBB">
            <w:pPr>
              <w:widowControl w:val="0"/>
              <w:jc w:val="center"/>
              <w:rPr>
                <w:b/>
                <w:bCs/>
                <w:color w:val="auto"/>
                <w:sz w:val="24"/>
                <w:szCs w:val="28"/>
                <w:lang w:eastAsia="vi-VN" w:bidi="vi-VN"/>
              </w:rPr>
            </w:pPr>
            <w:r w:rsidRPr="00732757">
              <w:rPr>
                <w:b/>
                <w:bCs/>
                <w:color w:val="auto"/>
                <w:szCs w:val="28"/>
                <w:lang w:eastAsia="vi-VN" w:bidi="vi-VN"/>
              </w:rPr>
              <w:t xml:space="preserve">Nguyễn </w:t>
            </w:r>
            <w:r>
              <w:rPr>
                <w:b/>
                <w:bCs/>
                <w:color w:val="auto"/>
                <w:szCs w:val="28"/>
                <w:lang w:eastAsia="vi-VN" w:bidi="vi-VN"/>
              </w:rPr>
              <w:t>Ngọc Sâm</w:t>
            </w:r>
          </w:p>
        </w:tc>
      </w:tr>
    </w:tbl>
    <w:p w:rsidR="00215650" w:rsidRPr="0004758D" w:rsidRDefault="00215650" w:rsidP="00215650">
      <w:pPr>
        <w:spacing w:before="120" w:after="120"/>
        <w:ind w:firstLine="709"/>
        <w:jc w:val="both"/>
        <w:rPr>
          <w:color w:val="auto"/>
        </w:rPr>
      </w:pPr>
    </w:p>
    <w:p w:rsidR="003E2535" w:rsidRDefault="003E2535"/>
    <w:sectPr w:rsidR="003E2535" w:rsidSect="00006456">
      <w:pgSz w:w="11907" w:h="16840" w:code="9"/>
      <w:pgMar w:top="964" w:right="851" w:bottom="96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215650"/>
    <w:rsid w:val="00000C8C"/>
    <w:rsid w:val="000010CD"/>
    <w:rsid w:val="00002688"/>
    <w:rsid w:val="0000405A"/>
    <w:rsid w:val="00004C26"/>
    <w:rsid w:val="000054C1"/>
    <w:rsid w:val="000063E9"/>
    <w:rsid w:val="00006456"/>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5650"/>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50"/>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4202</Characters>
  <Application>Microsoft Office Word</Application>
  <DocSecurity>0</DocSecurity>
  <Lines>35</Lines>
  <Paragraphs>9</Paragraphs>
  <ScaleCrop>false</ScaleCrop>
  <Company>Sky123.Org</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2018-05-27T11:23:00Z</dcterms:created>
  <dcterms:modified xsi:type="dcterms:W3CDTF">2018-05-27T11:24:00Z</dcterms:modified>
</cp:coreProperties>
</file>