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99"/>
        <w:gridCol w:w="6026"/>
      </w:tblGrid>
      <w:tr w:rsidR="00B27E21" w:rsidRPr="00100F6D" w:rsidTr="00071102">
        <w:trPr>
          <w:trHeight w:val="933"/>
        </w:trPr>
        <w:tc>
          <w:tcPr>
            <w:tcW w:w="3299" w:type="dxa"/>
          </w:tcPr>
          <w:p w:rsidR="00B27E21" w:rsidRPr="00100F6D" w:rsidRDefault="00B27E21" w:rsidP="00075EBE">
            <w:pPr>
              <w:jc w:val="center"/>
              <w:rPr>
                <w:b/>
                <w:color w:val="auto"/>
                <w:sz w:val="26"/>
                <w:szCs w:val="26"/>
                <w:lang w:val="fr-FR"/>
              </w:rPr>
            </w:pPr>
            <w:r w:rsidRPr="00100F6D">
              <w:rPr>
                <w:b/>
                <w:color w:val="auto"/>
                <w:sz w:val="26"/>
                <w:szCs w:val="26"/>
                <w:lang w:val="fr-FR"/>
              </w:rPr>
              <w:t>HỘI ĐỒNG NHÂN DÂN</w:t>
            </w:r>
          </w:p>
          <w:p w:rsidR="00B27E21" w:rsidRPr="00100F6D" w:rsidRDefault="007C6D92" w:rsidP="00075EBE">
            <w:pPr>
              <w:jc w:val="center"/>
              <w:rPr>
                <w:b/>
                <w:color w:val="auto"/>
                <w:szCs w:val="28"/>
                <w:lang w:val="fr-FR"/>
              </w:rPr>
            </w:pPr>
            <w:r w:rsidRPr="007C6D92">
              <w:rPr>
                <w:noProof/>
                <w:color w:val="auto"/>
                <w:sz w:val="26"/>
                <w:szCs w:val="26"/>
              </w:rPr>
              <w:pict>
                <v:line id="_x0000_s1026" style="position:absolute;left:0;text-align:left;z-index:251656192" from="52.35pt,16.05pt" to="81.45pt,16.05pt"/>
              </w:pict>
            </w:r>
            <w:r w:rsidR="00B27E21" w:rsidRPr="00100F6D">
              <w:rPr>
                <w:b/>
                <w:color w:val="auto"/>
                <w:sz w:val="26"/>
                <w:szCs w:val="26"/>
                <w:lang w:val="fr-FR"/>
              </w:rPr>
              <w:t>HUYỆN SA THẦY</w:t>
            </w:r>
          </w:p>
        </w:tc>
        <w:tc>
          <w:tcPr>
            <w:tcW w:w="6026" w:type="dxa"/>
          </w:tcPr>
          <w:p w:rsidR="00B27E21" w:rsidRPr="00100F6D" w:rsidRDefault="00B27E21" w:rsidP="00075EBE">
            <w:pPr>
              <w:jc w:val="center"/>
              <w:rPr>
                <w:b/>
                <w:color w:val="auto"/>
                <w:sz w:val="26"/>
                <w:szCs w:val="26"/>
                <w:lang w:val="fr-FR"/>
              </w:rPr>
            </w:pPr>
            <w:r w:rsidRPr="00100F6D">
              <w:rPr>
                <w:b/>
                <w:color w:val="auto"/>
                <w:sz w:val="26"/>
                <w:szCs w:val="26"/>
                <w:lang w:val="fr-FR"/>
              </w:rPr>
              <w:t>CỘNG HÒA XÃ HỘI CHỦ NGHĨA VIỆT NAM</w:t>
            </w:r>
          </w:p>
          <w:p w:rsidR="00B27E21" w:rsidRPr="009078B0" w:rsidRDefault="007C6D92" w:rsidP="00317B8D">
            <w:pPr>
              <w:jc w:val="center"/>
              <w:rPr>
                <w:b/>
                <w:color w:val="auto"/>
                <w:sz w:val="28"/>
                <w:szCs w:val="28"/>
                <w:lang w:val="fr-FR"/>
              </w:rPr>
            </w:pPr>
            <w:r w:rsidRPr="007C6D92">
              <w:rPr>
                <w:i/>
                <w:noProof/>
                <w:color w:val="auto"/>
                <w:szCs w:val="28"/>
              </w:rPr>
              <w:pict>
                <v:line id="_x0000_s1027" style="position:absolute;left:0;text-align:left;z-index:251657216" from="57.8pt,16.35pt" to="227.55pt,16.35pt"/>
              </w:pict>
            </w:r>
            <w:r w:rsidR="00B27E21" w:rsidRPr="009078B0">
              <w:rPr>
                <w:b/>
                <w:color w:val="auto"/>
                <w:sz w:val="28"/>
                <w:szCs w:val="28"/>
                <w:lang w:val="fr-FR"/>
              </w:rPr>
              <w:t xml:space="preserve">Độc lập </w:t>
            </w:r>
            <w:r w:rsidR="00317B8D">
              <w:rPr>
                <w:b/>
                <w:color w:val="auto"/>
                <w:sz w:val="28"/>
                <w:szCs w:val="28"/>
                <w:lang w:val="fr-FR"/>
              </w:rPr>
              <w:t>-</w:t>
            </w:r>
            <w:r w:rsidR="00B27E21" w:rsidRPr="009078B0">
              <w:rPr>
                <w:b/>
                <w:color w:val="auto"/>
                <w:sz w:val="28"/>
                <w:szCs w:val="28"/>
                <w:lang w:val="fr-FR"/>
              </w:rPr>
              <w:t xml:space="preserve"> Tự do </w:t>
            </w:r>
            <w:r w:rsidR="00317B8D">
              <w:rPr>
                <w:b/>
                <w:color w:val="auto"/>
                <w:sz w:val="28"/>
                <w:szCs w:val="28"/>
                <w:lang w:val="fr-FR"/>
              </w:rPr>
              <w:t>-</w:t>
            </w:r>
            <w:r w:rsidR="00B27E21" w:rsidRPr="009078B0">
              <w:rPr>
                <w:b/>
                <w:color w:val="auto"/>
                <w:sz w:val="28"/>
                <w:szCs w:val="28"/>
                <w:lang w:val="fr-FR"/>
              </w:rPr>
              <w:t xml:space="preserve"> Hạnh phúc</w:t>
            </w:r>
          </w:p>
        </w:tc>
      </w:tr>
      <w:tr w:rsidR="00B27E21" w:rsidRPr="00100F6D" w:rsidTr="00071102">
        <w:trPr>
          <w:trHeight w:val="335"/>
        </w:trPr>
        <w:tc>
          <w:tcPr>
            <w:tcW w:w="3299" w:type="dxa"/>
          </w:tcPr>
          <w:p w:rsidR="00B27E21" w:rsidRPr="00100F6D" w:rsidRDefault="00B27E21" w:rsidP="0034563A">
            <w:pPr>
              <w:jc w:val="center"/>
              <w:rPr>
                <w:color w:val="auto"/>
                <w:sz w:val="26"/>
                <w:szCs w:val="26"/>
                <w:lang w:val="fr-FR"/>
              </w:rPr>
            </w:pPr>
            <w:r>
              <w:rPr>
                <w:color w:val="auto"/>
                <w:sz w:val="26"/>
                <w:szCs w:val="26"/>
                <w:lang w:val="fr-FR"/>
              </w:rPr>
              <w:t>Số</w:t>
            </w:r>
            <w:r w:rsidRPr="00100F6D">
              <w:rPr>
                <w:color w:val="auto"/>
                <w:sz w:val="26"/>
                <w:szCs w:val="26"/>
                <w:lang w:val="fr-FR"/>
              </w:rPr>
              <w:t xml:space="preserve">:  </w:t>
            </w:r>
            <w:r w:rsidR="0034563A">
              <w:rPr>
                <w:color w:val="auto"/>
                <w:sz w:val="26"/>
                <w:szCs w:val="26"/>
                <w:lang w:val="fr-FR"/>
              </w:rPr>
              <w:t>42</w:t>
            </w:r>
            <w:r w:rsidRPr="00100F6D">
              <w:rPr>
                <w:color w:val="auto"/>
                <w:sz w:val="26"/>
                <w:szCs w:val="26"/>
                <w:lang w:val="fr-FR"/>
              </w:rPr>
              <w:t xml:space="preserve"> /NQ-HĐND</w:t>
            </w:r>
          </w:p>
        </w:tc>
        <w:tc>
          <w:tcPr>
            <w:tcW w:w="6026" w:type="dxa"/>
          </w:tcPr>
          <w:p w:rsidR="00B27E21" w:rsidRPr="009078B0" w:rsidRDefault="00B27E21" w:rsidP="0034563A">
            <w:pPr>
              <w:jc w:val="center"/>
              <w:rPr>
                <w:i/>
                <w:color w:val="auto"/>
                <w:sz w:val="28"/>
                <w:szCs w:val="28"/>
                <w:lang w:val="fr-FR"/>
              </w:rPr>
            </w:pPr>
            <w:r w:rsidRPr="009078B0">
              <w:rPr>
                <w:i/>
                <w:color w:val="auto"/>
                <w:sz w:val="28"/>
                <w:szCs w:val="28"/>
                <w:lang w:val="fr-FR"/>
              </w:rPr>
              <w:t xml:space="preserve">Sa Thầy, ngày </w:t>
            </w:r>
            <w:r w:rsidR="0034563A">
              <w:rPr>
                <w:i/>
                <w:color w:val="auto"/>
                <w:sz w:val="28"/>
                <w:szCs w:val="28"/>
                <w:lang w:val="fr-FR"/>
              </w:rPr>
              <w:t>20</w:t>
            </w:r>
            <w:r w:rsidRPr="009078B0">
              <w:rPr>
                <w:i/>
                <w:color w:val="auto"/>
                <w:sz w:val="28"/>
                <w:szCs w:val="28"/>
                <w:lang w:val="fr-FR"/>
              </w:rPr>
              <w:t xml:space="preserve"> tháng 12 năm 201</w:t>
            </w:r>
            <w:r>
              <w:rPr>
                <w:i/>
                <w:color w:val="auto"/>
                <w:sz w:val="28"/>
                <w:szCs w:val="28"/>
                <w:lang w:val="fr-FR"/>
              </w:rPr>
              <w:t>6</w:t>
            </w:r>
          </w:p>
        </w:tc>
      </w:tr>
    </w:tbl>
    <w:p w:rsidR="00B27E21" w:rsidRDefault="00B27E21" w:rsidP="00B27E21">
      <w:pPr>
        <w:rPr>
          <w:b/>
          <w:color w:val="auto"/>
          <w:szCs w:val="28"/>
          <w:lang w:val="fr-FR"/>
        </w:rPr>
      </w:pPr>
    </w:p>
    <w:p w:rsidR="00B27E21" w:rsidRPr="00100F6D" w:rsidRDefault="00B27E21" w:rsidP="00B27E21">
      <w:pPr>
        <w:jc w:val="center"/>
        <w:rPr>
          <w:b/>
          <w:color w:val="auto"/>
          <w:szCs w:val="28"/>
          <w:lang w:val="fr-FR"/>
        </w:rPr>
      </w:pPr>
      <w:r w:rsidRPr="00100F6D">
        <w:rPr>
          <w:b/>
          <w:color w:val="auto"/>
          <w:szCs w:val="28"/>
          <w:lang w:val="fr-FR"/>
        </w:rPr>
        <w:t>NGHỊ QUYẾT</w:t>
      </w:r>
    </w:p>
    <w:p w:rsidR="00B27E21" w:rsidRDefault="00B27E21" w:rsidP="00B27E21">
      <w:pPr>
        <w:jc w:val="center"/>
        <w:rPr>
          <w:b/>
          <w:color w:val="auto"/>
        </w:rPr>
      </w:pPr>
      <w:r w:rsidRPr="00B27E21">
        <w:rPr>
          <w:b/>
          <w:color w:val="auto"/>
          <w:szCs w:val="28"/>
          <w:lang w:val="fr-FR"/>
        </w:rPr>
        <w:t xml:space="preserve">Về </w:t>
      </w:r>
      <w:r w:rsidR="00A850A1">
        <w:rPr>
          <w:b/>
          <w:color w:val="auto"/>
          <w:szCs w:val="28"/>
          <w:lang w:val="fr-FR"/>
        </w:rPr>
        <w:t xml:space="preserve">kết quả </w:t>
      </w:r>
      <w:r w:rsidRPr="00B27E21">
        <w:rPr>
          <w:b/>
          <w:color w:val="auto"/>
          <w:szCs w:val="28"/>
          <w:lang w:val="fr-FR"/>
        </w:rPr>
        <w:t xml:space="preserve">giám sát chuyên đề: </w:t>
      </w:r>
      <w:r w:rsidRPr="00B27E21">
        <w:rPr>
          <w:b/>
          <w:color w:val="auto"/>
        </w:rPr>
        <w:t xml:space="preserve">công tác xử phạt vi phạm hành chính </w:t>
      </w:r>
    </w:p>
    <w:p w:rsidR="00B27E21" w:rsidRPr="00B27E21" w:rsidRDefault="00B27E21" w:rsidP="00B27E21">
      <w:pPr>
        <w:jc w:val="center"/>
        <w:rPr>
          <w:b/>
          <w:color w:val="auto"/>
          <w:szCs w:val="28"/>
          <w:lang w:val="fr-FR"/>
        </w:rPr>
      </w:pPr>
      <w:r w:rsidRPr="00B27E21">
        <w:rPr>
          <w:b/>
          <w:color w:val="auto"/>
        </w:rPr>
        <w:t>trong lĩnh vực quản lý, bảo vệ rừng; lĩnh vực đất đai và lĩnh vực xây dựng trên địa bàn huyện</w:t>
      </w:r>
    </w:p>
    <w:p w:rsidR="00B27E21" w:rsidRDefault="007C6D92" w:rsidP="00B27E21">
      <w:pPr>
        <w:jc w:val="center"/>
        <w:rPr>
          <w:b/>
          <w:color w:val="auto"/>
          <w:szCs w:val="28"/>
          <w:lang w:val="fr-FR"/>
        </w:rPr>
      </w:pPr>
      <w:r w:rsidRPr="007C6D92">
        <w:rPr>
          <w:noProof/>
          <w:color w:val="auto"/>
          <w:szCs w:val="28"/>
        </w:rPr>
        <w:pict>
          <v:line id="_x0000_s1028" style="position:absolute;left:0;text-align:left;z-index:251658240" from="215.45pt,1.55pt" to="254pt,1.55pt"/>
        </w:pict>
      </w:r>
    </w:p>
    <w:p w:rsidR="00B27E21" w:rsidRPr="00100F6D" w:rsidRDefault="00B27E21" w:rsidP="00B27E21">
      <w:pPr>
        <w:jc w:val="center"/>
        <w:rPr>
          <w:b/>
          <w:color w:val="auto"/>
          <w:szCs w:val="28"/>
          <w:lang w:val="fr-FR"/>
        </w:rPr>
      </w:pPr>
      <w:r w:rsidRPr="00100F6D">
        <w:rPr>
          <w:b/>
          <w:color w:val="auto"/>
          <w:szCs w:val="28"/>
          <w:lang w:val="fr-FR"/>
        </w:rPr>
        <w:t>HỘI ĐỒNG NHÂN DÂN HUYỆN</w:t>
      </w:r>
    </w:p>
    <w:p w:rsidR="00B27E21" w:rsidRDefault="00B27E21" w:rsidP="00B27E21">
      <w:pPr>
        <w:jc w:val="center"/>
        <w:rPr>
          <w:b/>
          <w:color w:val="auto"/>
          <w:szCs w:val="28"/>
          <w:lang w:val="fr-FR"/>
        </w:rPr>
      </w:pPr>
      <w:r w:rsidRPr="00100F6D">
        <w:rPr>
          <w:b/>
          <w:color w:val="auto"/>
          <w:szCs w:val="28"/>
          <w:lang w:val="fr-FR"/>
        </w:rPr>
        <w:t xml:space="preserve">KHOÁ X, KỲ HỌP THỨ </w:t>
      </w:r>
      <w:r>
        <w:rPr>
          <w:b/>
          <w:color w:val="auto"/>
          <w:szCs w:val="28"/>
          <w:lang w:val="fr-FR"/>
        </w:rPr>
        <w:t>3</w:t>
      </w:r>
    </w:p>
    <w:p w:rsidR="0000101A" w:rsidRPr="00100F6D" w:rsidRDefault="0000101A" w:rsidP="00B27E21">
      <w:pPr>
        <w:jc w:val="center"/>
        <w:rPr>
          <w:b/>
          <w:color w:val="auto"/>
          <w:szCs w:val="28"/>
          <w:lang w:val="fr-FR"/>
        </w:rPr>
      </w:pPr>
    </w:p>
    <w:p w:rsidR="00FD15C0" w:rsidRDefault="00FD15C0" w:rsidP="00FD15C0">
      <w:pPr>
        <w:pStyle w:val="BodyText"/>
        <w:spacing w:before="120" w:after="120"/>
        <w:ind w:firstLine="709"/>
        <w:rPr>
          <w:szCs w:val="28"/>
        </w:rPr>
      </w:pPr>
      <w:r>
        <w:rPr>
          <w:szCs w:val="28"/>
        </w:rPr>
        <w:t xml:space="preserve">Căn cứ Luật </w:t>
      </w:r>
      <w:r w:rsidR="0000101A">
        <w:rPr>
          <w:szCs w:val="28"/>
        </w:rPr>
        <w:t xml:space="preserve">Tổ chức Chính quyền địa phương </w:t>
      </w:r>
      <w:r>
        <w:rPr>
          <w:szCs w:val="28"/>
        </w:rPr>
        <w:t xml:space="preserve">ngày 19/6/2015; </w:t>
      </w:r>
    </w:p>
    <w:p w:rsidR="00FD15C0" w:rsidRPr="0000101A" w:rsidRDefault="00FD15C0" w:rsidP="00FD15C0">
      <w:pPr>
        <w:pStyle w:val="BodyText"/>
        <w:spacing w:before="120" w:after="120"/>
        <w:ind w:firstLine="709"/>
        <w:rPr>
          <w:szCs w:val="28"/>
        </w:rPr>
      </w:pPr>
      <w:r w:rsidRPr="0000101A">
        <w:rPr>
          <w:szCs w:val="28"/>
        </w:rPr>
        <w:t xml:space="preserve">Căn cứ Luật Hoạt động giám sát của Quốc hội và HĐND ngày 20/11/2015; </w:t>
      </w:r>
    </w:p>
    <w:p w:rsidR="0000101A" w:rsidRPr="0000101A" w:rsidRDefault="00FD15C0" w:rsidP="0000101A">
      <w:pPr>
        <w:spacing w:before="120" w:after="120"/>
        <w:ind w:firstLine="720"/>
        <w:jc w:val="both"/>
        <w:rPr>
          <w:color w:val="auto"/>
        </w:rPr>
      </w:pPr>
      <w:r w:rsidRPr="0000101A">
        <w:rPr>
          <w:color w:val="auto"/>
        </w:rPr>
        <w:t>Căn cứ Nghị quyết số 38/NQ-HĐND ngày 19/8/2016 về Chương trình giám sát 6 tháng cuối năm 2016 và năm 2017 của HĐND huyện; Nghị quyết số 39/NQ-HĐND ngày 19/8/2016 về việc thành lập Đoàn giám sát chuyên đề 6 tháng cuối năm 2016 của HĐND huyện;</w:t>
      </w:r>
    </w:p>
    <w:p w:rsidR="0000101A" w:rsidRPr="0000101A" w:rsidRDefault="0000101A" w:rsidP="0000101A">
      <w:pPr>
        <w:spacing w:before="120" w:after="120"/>
        <w:ind w:firstLine="720"/>
        <w:jc w:val="both"/>
        <w:rPr>
          <w:color w:val="auto"/>
        </w:rPr>
      </w:pPr>
      <w:r w:rsidRPr="0000101A">
        <w:rPr>
          <w:color w:val="auto"/>
        </w:rPr>
        <w:t>Căn cứ</w:t>
      </w:r>
      <w:r w:rsidR="00FD15C0" w:rsidRPr="0000101A">
        <w:rPr>
          <w:color w:val="auto"/>
        </w:rPr>
        <w:t xml:space="preserve"> Kế hoạch số 13/KH-ĐGS ngày 05/9/2016 của Đoàn giám sát HĐND huyện về giám sát công tác xử phạt vi phạm hành chính trong lĩnh vực quản lý, bảo vệ rừng; lĩnh vực đất đai và lĩnh vực xây dựng</w:t>
      </w:r>
      <w:r w:rsidRPr="0000101A">
        <w:rPr>
          <w:color w:val="auto"/>
        </w:rPr>
        <w:t xml:space="preserve"> trên địa bàn huyện;</w:t>
      </w:r>
    </w:p>
    <w:p w:rsidR="00A213F2" w:rsidRDefault="0000101A" w:rsidP="0000101A">
      <w:pPr>
        <w:spacing w:before="120" w:after="120"/>
        <w:ind w:firstLine="720"/>
        <w:jc w:val="both"/>
        <w:rPr>
          <w:color w:val="auto"/>
        </w:rPr>
      </w:pPr>
      <w:r w:rsidRPr="0000101A">
        <w:rPr>
          <w:color w:val="auto"/>
        </w:rPr>
        <w:t xml:space="preserve">Xét Báo cáo số </w:t>
      </w:r>
      <w:r w:rsidR="00DE5E07">
        <w:rPr>
          <w:color w:val="auto"/>
        </w:rPr>
        <w:t>30</w:t>
      </w:r>
      <w:r w:rsidRPr="0000101A">
        <w:rPr>
          <w:color w:val="auto"/>
        </w:rPr>
        <w:t xml:space="preserve">/BC-ĐGS ngày </w:t>
      </w:r>
      <w:r w:rsidR="00DE5E07">
        <w:rPr>
          <w:color w:val="auto"/>
        </w:rPr>
        <w:t xml:space="preserve">18/11/2016 </w:t>
      </w:r>
      <w:r w:rsidRPr="0000101A">
        <w:rPr>
          <w:color w:val="auto"/>
        </w:rPr>
        <w:t xml:space="preserve">của Đoàn giám sát HĐND huyện về </w:t>
      </w:r>
      <w:r w:rsidR="00925FA8">
        <w:rPr>
          <w:color w:val="auto"/>
        </w:rPr>
        <w:t xml:space="preserve">kết quả </w:t>
      </w:r>
      <w:r w:rsidRPr="0000101A">
        <w:rPr>
          <w:color w:val="auto"/>
        </w:rPr>
        <w:t>giám sát công tác xử phạt vi phạm hành chính trong lĩnh vực quản lý, bảo vệ rừng; lĩnh vực đất đai và lĩnh vực xây dựng</w:t>
      </w:r>
      <w:r w:rsidR="00FD15C0" w:rsidRPr="0000101A">
        <w:rPr>
          <w:color w:val="auto"/>
        </w:rPr>
        <w:t xml:space="preserve"> </w:t>
      </w:r>
      <w:r>
        <w:rPr>
          <w:color w:val="auto"/>
        </w:rPr>
        <w:t>trên địa bàn huyện; ý kiến tham gia của các đại biểu tại kỳ họp,</w:t>
      </w:r>
    </w:p>
    <w:p w:rsidR="0000101A" w:rsidRDefault="0000101A" w:rsidP="0000101A">
      <w:pPr>
        <w:spacing w:before="120" w:after="120"/>
        <w:ind w:firstLine="720"/>
        <w:jc w:val="center"/>
        <w:rPr>
          <w:b/>
          <w:color w:val="auto"/>
        </w:rPr>
      </w:pPr>
      <w:r w:rsidRPr="0000101A">
        <w:rPr>
          <w:b/>
          <w:color w:val="auto"/>
        </w:rPr>
        <w:t>QUYẾT NGHỊ:</w:t>
      </w:r>
    </w:p>
    <w:p w:rsidR="00DE5E07" w:rsidRDefault="00DE5E07" w:rsidP="0000101A">
      <w:pPr>
        <w:spacing w:before="120" w:after="120"/>
        <w:ind w:firstLine="720"/>
        <w:jc w:val="center"/>
        <w:rPr>
          <w:b/>
          <w:color w:val="auto"/>
        </w:rPr>
      </w:pPr>
    </w:p>
    <w:p w:rsidR="00E412DF" w:rsidRDefault="00E412DF" w:rsidP="00681BBA">
      <w:pPr>
        <w:spacing w:before="120" w:after="120"/>
        <w:ind w:firstLine="720"/>
        <w:jc w:val="both"/>
        <w:rPr>
          <w:color w:val="auto"/>
        </w:rPr>
      </w:pPr>
      <w:r w:rsidRPr="00B16037">
        <w:rPr>
          <w:b/>
          <w:color w:val="auto"/>
        </w:rPr>
        <w:t>Điều 1.</w:t>
      </w:r>
      <w:r>
        <w:rPr>
          <w:color w:val="auto"/>
        </w:rPr>
        <w:t xml:space="preserve"> Tán thành với Báo cáo kết quả </w:t>
      </w:r>
      <w:r w:rsidRPr="0000101A">
        <w:rPr>
          <w:color w:val="auto"/>
        </w:rPr>
        <w:t xml:space="preserve">giám sát công tác xử phạt vi phạm hành chính trong lĩnh vực quản lý, bảo vệ rừng; lĩnh vực đất đai và lĩnh vực xây dựng </w:t>
      </w:r>
      <w:r>
        <w:rPr>
          <w:color w:val="auto"/>
        </w:rPr>
        <w:t>trên địa bàn huyện của Đoàn giám sát HĐND huyện.</w:t>
      </w:r>
    </w:p>
    <w:p w:rsidR="00681BBA" w:rsidRPr="00681BBA" w:rsidRDefault="00681BBA" w:rsidP="00681BBA">
      <w:pPr>
        <w:spacing w:before="120" w:after="120"/>
        <w:ind w:firstLine="720"/>
        <w:jc w:val="both"/>
        <w:rPr>
          <w:b/>
          <w:color w:val="auto"/>
        </w:rPr>
      </w:pPr>
      <w:r>
        <w:rPr>
          <w:b/>
          <w:color w:val="auto"/>
        </w:rPr>
        <w:t xml:space="preserve">1. </w:t>
      </w:r>
      <w:r w:rsidRPr="00681BBA">
        <w:rPr>
          <w:b/>
          <w:color w:val="auto"/>
        </w:rPr>
        <w:t>Kết quả đạt được</w:t>
      </w:r>
    </w:p>
    <w:p w:rsidR="00681BBA" w:rsidRPr="00681BBA" w:rsidRDefault="00681BBA" w:rsidP="00681BBA">
      <w:pPr>
        <w:spacing w:before="120" w:after="120"/>
        <w:ind w:firstLine="709"/>
        <w:jc w:val="both"/>
        <w:rPr>
          <w:color w:val="auto"/>
        </w:rPr>
      </w:pPr>
      <w:r w:rsidRPr="00681BBA">
        <w:rPr>
          <w:color w:val="auto"/>
        </w:rPr>
        <w:t>Thời gian qua, công tác xử lý vi phạm hành chính trên các lĩnh vực được các cấp, các ngành quan tâm, chỉ đạo thực hiện. Công tác kiểm tra được các cơ quan, đơn vị, các xã, thị trấn chủ động phối hợp thực hiện. Công tác tuyên truyền, phổ biến, giáo dục pháp luật được thực hiện thường xuyên. Nhận thức của người dân về pháp luật ngày càng được nâng lên. Do đó, tình hình vi phạm hành chính trên các lĩnh vực được hạn chế.</w:t>
      </w:r>
    </w:p>
    <w:p w:rsidR="00681BBA" w:rsidRPr="00681BBA" w:rsidRDefault="00681BBA" w:rsidP="00681BBA">
      <w:pPr>
        <w:spacing w:after="120"/>
        <w:ind w:firstLine="720"/>
        <w:jc w:val="both"/>
        <w:rPr>
          <w:color w:val="auto"/>
        </w:rPr>
      </w:pPr>
      <w:r w:rsidRPr="00681BBA">
        <w:rPr>
          <w:color w:val="auto"/>
        </w:rPr>
        <w:t xml:space="preserve">Nhìn chung, công tác xử phạt vi phạm hành chính trên địa bàn huyện đã được các cơ quan chức năng thực hiện theo đúng quy định của pháp luật, ban hành </w:t>
      </w:r>
      <w:r w:rsidRPr="00681BBA">
        <w:rPr>
          <w:color w:val="auto"/>
        </w:rPr>
        <w:lastRenderedPageBreak/>
        <w:t xml:space="preserve">Quyết định xử phạt đúng thẩm quyền, xử phạt đúng người, đúng hành vi vi phạm, đáp ứng yêu cầu công tác quản lý nhà nước trên địa bàn và cơ bản đi vào nề nếp. Đến nay, chưa phát sinh trường hợp khiếu kiện, khiếu nại đối với các Quyết định xử phạt vi phạm hành chính của cấp có thẩm quyền. </w:t>
      </w:r>
    </w:p>
    <w:p w:rsidR="00681BBA" w:rsidRPr="004B67B5" w:rsidRDefault="00DE5E6A" w:rsidP="00681BBA">
      <w:pPr>
        <w:spacing w:before="120" w:after="120"/>
        <w:ind w:firstLine="720"/>
        <w:jc w:val="both"/>
        <w:rPr>
          <w:b/>
          <w:color w:val="auto"/>
        </w:rPr>
      </w:pPr>
      <w:r w:rsidRPr="004B67B5">
        <w:rPr>
          <w:b/>
          <w:color w:val="auto"/>
        </w:rPr>
        <w:t>2. Tồn tại, hạn chế và nguyên nhân</w:t>
      </w:r>
    </w:p>
    <w:p w:rsidR="004B67B5" w:rsidRPr="004B67B5" w:rsidRDefault="004B67B5" w:rsidP="004B67B5">
      <w:pPr>
        <w:spacing w:before="120" w:after="120"/>
        <w:ind w:firstLine="709"/>
        <w:jc w:val="both"/>
        <w:rPr>
          <w:b/>
          <w:color w:val="auto"/>
        </w:rPr>
      </w:pPr>
      <w:r w:rsidRPr="004B67B5">
        <w:rPr>
          <w:b/>
          <w:color w:val="auto"/>
        </w:rPr>
        <w:t>2.1. Lĩnh vực quản lý, bảo vệ rừng</w:t>
      </w:r>
    </w:p>
    <w:p w:rsidR="004B67B5" w:rsidRPr="004B67B5" w:rsidRDefault="004B67B5" w:rsidP="004B67B5">
      <w:pPr>
        <w:spacing w:before="120" w:after="120"/>
        <w:ind w:firstLine="709"/>
        <w:jc w:val="both"/>
        <w:rPr>
          <w:color w:val="auto"/>
          <w:lang w:val="vi-VN"/>
        </w:rPr>
      </w:pPr>
      <w:r w:rsidRPr="004B67B5">
        <w:rPr>
          <w:color w:val="auto"/>
          <w:lang w:val="vi-VN"/>
        </w:rPr>
        <w:t>Mặc dù tình trạng vi phạm các quy định của nhà nước về quản lý, bảo vệ rừng giảm qua các năm nhưng số vụ vi phạm còn lớn, gây thiệt hại nghiệm trọng đến tài nguyên rừng của địa phương.</w:t>
      </w:r>
    </w:p>
    <w:p w:rsidR="004B67B5" w:rsidRPr="004B67B5" w:rsidRDefault="004B67B5" w:rsidP="004B67B5">
      <w:pPr>
        <w:spacing w:before="120" w:after="120"/>
        <w:ind w:firstLine="709"/>
        <w:jc w:val="both"/>
        <w:rPr>
          <w:color w:val="auto"/>
          <w:lang w:val="vi-VN"/>
        </w:rPr>
      </w:pPr>
      <w:r w:rsidRPr="004B67B5">
        <w:rPr>
          <w:color w:val="auto"/>
          <w:lang w:val="vi-VN"/>
        </w:rPr>
        <w:t xml:space="preserve">Công tác tuyên truyền, phổ biến, giáo dục pháp luật về bảo vệ rừng </w:t>
      </w:r>
      <w:r w:rsidRPr="004B67B5">
        <w:rPr>
          <w:color w:val="auto"/>
        </w:rPr>
        <w:t>tuy được thực hiện thường xuyên nhưng hiệu quả chưa cao</w:t>
      </w:r>
      <w:r w:rsidRPr="004B67B5">
        <w:rPr>
          <w:color w:val="auto"/>
          <w:lang w:val="vi-VN"/>
        </w:rPr>
        <w:t>, chưa tạo sự chuyển về nhận thức của người dân, đặc biệt là vùng đồng bào dân tộc thiểu số.</w:t>
      </w:r>
    </w:p>
    <w:p w:rsidR="004B67B5" w:rsidRDefault="004B67B5" w:rsidP="004B67B5">
      <w:pPr>
        <w:spacing w:before="120" w:after="120"/>
        <w:ind w:firstLine="709"/>
        <w:jc w:val="both"/>
        <w:rPr>
          <w:color w:val="000000"/>
          <w:shd w:val="clear" w:color="auto" w:fill="FFFFFF"/>
          <w:lang w:val="vi-VN"/>
        </w:rPr>
      </w:pPr>
      <w:r>
        <w:rPr>
          <w:color w:val="000000"/>
          <w:shd w:val="clear" w:color="auto" w:fill="FFFFFF"/>
          <w:lang w:val="vi-VN"/>
        </w:rPr>
        <w:t>Người đứng đầu c</w:t>
      </w:r>
      <w:r>
        <w:rPr>
          <w:color w:val="000000"/>
          <w:shd w:val="clear" w:color="auto" w:fill="FFFFFF"/>
        </w:rPr>
        <w:t xml:space="preserve">hính quyền </w:t>
      </w:r>
      <w:r>
        <w:rPr>
          <w:color w:val="000000"/>
          <w:shd w:val="clear" w:color="auto" w:fill="FFFFFF"/>
          <w:lang w:val="vi-VN"/>
        </w:rPr>
        <w:t xml:space="preserve">ở một </w:t>
      </w:r>
      <w:r w:rsidR="00985EB7">
        <w:rPr>
          <w:color w:val="000000"/>
          <w:shd w:val="clear" w:color="auto" w:fill="FFFFFF"/>
        </w:rPr>
        <w:t>xã</w:t>
      </w:r>
      <w:r>
        <w:rPr>
          <w:color w:val="000000"/>
          <w:shd w:val="clear" w:color="auto" w:fill="FFFFFF"/>
        </w:rPr>
        <w:t xml:space="preserve"> sở còn buông lỏng công tác quản lý, tổ chức thực hiện nhiệm vụ còn thiếu nghiêm túc nên dẫn đến nhiều hành vi vi phạm</w:t>
      </w:r>
      <w:r>
        <w:rPr>
          <w:color w:val="000000"/>
          <w:shd w:val="clear" w:color="auto" w:fill="FFFFFF"/>
          <w:lang w:val="vi-VN"/>
        </w:rPr>
        <w:t xml:space="preserve"> nhưng không bị phát hiện. Cán bộ Kiểm lâm địa bàn chưa tham mưu kịp thời cho chính quyền địa phương trong công tác quản lý, bảo vệ rừng</w:t>
      </w:r>
    </w:p>
    <w:p w:rsidR="004B67B5" w:rsidRDefault="004B67B5" w:rsidP="004B67B5">
      <w:pPr>
        <w:spacing w:before="120" w:after="120"/>
        <w:ind w:firstLine="709"/>
        <w:jc w:val="both"/>
        <w:rPr>
          <w:color w:val="000000"/>
          <w:shd w:val="clear" w:color="auto" w:fill="FFFFFF"/>
          <w:lang w:val="vi-VN"/>
        </w:rPr>
      </w:pPr>
      <w:r>
        <w:rPr>
          <w:color w:val="000000"/>
          <w:shd w:val="clear" w:color="auto" w:fill="FFFFFF"/>
          <w:lang w:val="vi-VN"/>
        </w:rPr>
        <w:t>Một số đơn vị chủ rừng còn thiếu trách nhiệm trong công tác quản lý, bảo vệ diện tích rừng được giao. Việc giao đất, giao rừng cho các cá nhân và hộ gia đình quản lý thiếu sự theo dõi, giám sát dẫn đến nhiều diện tích rừng bị mất.</w:t>
      </w:r>
    </w:p>
    <w:p w:rsidR="004B67B5" w:rsidRPr="00250F4F" w:rsidRDefault="004B67B5" w:rsidP="004B67B5">
      <w:pPr>
        <w:spacing w:before="120" w:after="120"/>
        <w:ind w:firstLine="709"/>
        <w:jc w:val="both"/>
        <w:rPr>
          <w:color w:val="000000"/>
          <w:shd w:val="clear" w:color="auto" w:fill="FFFFFF"/>
        </w:rPr>
      </w:pPr>
      <w:r>
        <w:rPr>
          <w:color w:val="000000"/>
          <w:shd w:val="clear" w:color="auto" w:fill="FFFFFF"/>
        </w:rPr>
        <w:t xml:space="preserve">Công tác phối hợp giữa các ngành chức năng và chính quyền địa phương </w:t>
      </w:r>
      <w:r>
        <w:rPr>
          <w:color w:val="000000"/>
          <w:shd w:val="clear" w:color="auto" w:fill="FFFFFF"/>
          <w:lang w:val="vi-VN"/>
        </w:rPr>
        <w:t>trong tổ chức tuần tra, truy quét chưa chặt chẽ, chưa thường xuyên. Việc</w:t>
      </w:r>
      <w:r>
        <w:rPr>
          <w:color w:val="000000"/>
          <w:shd w:val="clear" w:color="auto" w:fill="FFFFFF"/>
        </w:rPr>
        <w:t xml:space="preserve"> theo dõi, giám sát và đôn đốc việc thi hành quyết định xử phạt vi phạm hành chính</w:t>
      </w:r>
      <w:r w:rsidR="00250F4F">
        <w:rPr>
          <w:color w:val="000000"/>
          <w:shd w:val="clear" w:color="auto" w:fill="FFFFFF"/>
          <w:lang w:val="vi-VN"/>
        </w:rPr>
        <w:t xml:space="preserve"> thiếu cương quyết</w:t>
      </w:r>
      <w:r w:rsidR="00250F4F">
        <w:rPr>
          <w:color w:val="000000"/>
          <w:shd w:val="clear" w:color="auto" w:fill="FFFFFF"/>
        </w:rPr>
        <w:t>, nhất là các hành vi khai thác rừng trái phép làm nương rẫy.</w:t>
      </w:r>
    </w:p>
    <w:p w:rsidR="00DE5E6A" w:rsidRPr="004B67B5" w:rsidRDefault="004B67B5" w:rsidP="00681BBA">
      <w:pPr>
        <w:spacing w:before="120" w:after="120"/>
        <w:ind w:firstLine="720"/>
        <w:jc w:val="both"/>
        <w:rPr>
          <w:b/>
          <w:color w:val="auto"/>
        </w:rPr>
      </w:pPr>
      <w:r w:rsidRPr="004B67B5">
        <w:rPr>
          <w:b/>
          <w:color w:val="auto"/>
        </w:rPr>
        <w:t>2.2.</w:t>
      </w:r>
      <w:r w:rsidRPr="004B67B5">
        <w:rPr>
          <w:color w:val="auto"/>
        </w:rPr>
        <w:t xml:space="preserve"> </w:t>
      </w:r>
      <w:r w:rsidRPr="004B67B5">
        <w:rPr>
          <w:b/>
          <w:color w:val="auto"/>
        </w:rPr>
        <w:t>Lĩnh vực đất đai</w:t>
      </w:r>
    </w:p>
    <w:p w:rsidR="00250F4F" w:rsidRPr="00250F4F" w:rsidRDefault="00250F4F" w:rsidP="00250F4F">
      <w:pPr>
        <w:spacing w:before="120" w:after="120"/>
        <w:ind w:firstLine="709"/>
        <w:jc w:val="both"/>
        <w:rPr>
          <w:color w:val="auto"/>
          <w:lang w:val="vi-VN"/>
        </w:rPr>
      </w:pPr>
      <w:r w:rsidRPr="00250F4F">
        <w:rPr>
          <w:color w:val="auto"/>
          <w:lang w:val="vi-VN"/>
        </w:rPr>
        <w:t xml:space="preserve">Chính quyền một số </w:t>
      </w:r>
      <w:r w:rsidRPr="00250F4F">
        <w:rPr>
          <w:color w:val="auto"/>
        </w:rPr>
        <w:t>xã, thị trấn</w:t>
      </w:r>
      <w:r w:rsidRPr="00250F4F">
        <w:rPr>
          <w:color w:val="auto"/>
          <w:lang w:val="vi-VN"/>
        </w:rPr>
        <w:t xml:space="preserve"> còn thiếu trách nhiệm trong công tác quản lý nên để xảy ra nhiều hành vi vi phạm </w:t>
      </w:r>
      <w:r w:rsidRPr="00250F4F">
        <w:rPr>
          <w:color w:val="auto"/>
        </w:rPr>
        <w:t xml:space="preserve">như </w:t>
      </w:r>
      <w:r w:rsidRPr="00250F4F">
        <w:rPr>
          <w:color w:val="auto"/>
          <w:lang w:val="vi-VN"/>
        </w:rPr>
        <w:t>sang nhượng đất đai bất hợp pháp, lấn chiếm đất</w:t>
      </w:r>
      <w:r w:rsidRPr="00250F4F">
        <w:rPr>
          <w:color w:val="auto"/>
        </w:rPr>
        <w:t xml:space="preserve"> (đặc biệt là đất lâm nghiệp)</w:t>
      </w:r>
      <w:r w:rsidRPr="00250F4F">
        <w:rPr>
          <w:color w:val="auto"/>
          <w:lang w:val="vi-VN"/>
        </w:rPr>
        <w:t>, không thực hiện chuyển mục đích sử dụng đất theo quy định...</w:t>
      </w:r>
      <w:r w:rsidRPr="00250F4F">
        <w:rPr>
          <w:color w:val="auto"/>
        </w:rPr>
        <w:t xml:space="preserve"> </w:t>
      </w:r>
      <w:r w:rsidRPr="00250F4F">
        <w:rPr>
          <w:color w:val="auto"/>
          <w:lang w:val="vi-VN"/>
        </w:rPr>
        <w:t xml:space="preserve">nhưng không bị phát hiện. Nhiều trường hợp vi phạm bị phát hiện nhưng chính quyền không lập biên bản </w:t>
      </w:r>
      <w:r w:rsidRPr="00250F4F">
        <w:rPr>
          <w:color w:val="auto"/>
        </w:rPr>
        <w:t xml:space="preserve">và ra Quyết định xử phạt </w:t>
      </w:r>
      <w:r w:rsidRPr="00250F4F">
        <w:rPr>
          <w:color w:val="auto"/>
          <w:lang w:val="vi-VN"/>
        </w:rPr>
        <w:t>vi phạm hành chính theo quy định.</w:t>
      </w:r>
    </w:p>
    <w:p w:rsidR="004B67B5" w:rsidRPr="004B67B5" w:rsidRDefault="004B67B5" w:rsidP="004B67B5">
      <w:pPr>
        <w:spacing w:before="120" w:after="120"/>
        <w:ind w:firstLine="709"/>
        <w:jc w:val="both"/>
        <w:rPr>
          <w:color w:val="auto"/>
          <w:lang w:val="vi-VN"/>
        </w:rPr>
      </w:pPr>
      <w:r w:rsidRPr="004B67B5">
        <w:rPr>
          <w:color w:val="auto"/>
        </w:rPr>
        <w:t>Chưa</w:t>
      </w:r>
      <w:r w:rsidRPr="004B67B5">
        <w:rPr>
          <w:color w:val="auto"/>
          <w:lang w:val="vi-VN"/>
        </w:rPr>
        <w:t xml:space="preserve"> có biện pháp xử lý cương quyết đối với các đối tượng vi phạm sau khi </w:t>
      </w:r>
      <w:r w:rsidRPr="004B67B5">
        <w:rPr>
          <w:color w:val="auto"/>
        </w:rPr>
        <w:t xml:space="preserve">được chính quyền tuyên truyền, </w:t>
      </w:r>
      <w:r w:rsidRPr="004B67B5">
        <w:rPr>
          <w:color w:val="auto"/>
          <w:lang w:val="vi-VN"/>
        </w:rPr>
        <w:t xml:space="preserve">vận động </w:t>
      </w:r>
      <w:r w:rsidRPr="004B67B5">
        <w:rPr>
          <w:color w:val="auto"/>
        </w:rPr>
        <w:t xml:space="preserve">nhưng </w:t>
      </w:r>
      <w:r w:rsidRPr="004B67B5">
        <w:rPr>
          <w:color w:val="auto"/>
          <w:lang w:val="vi-VN"/>
        </w:rPr>
        <w:t xml:space="preserve">vẫn </w:t>
      </w:r>
      <w:r w:rsidRPr="004B67B5">
        <w:rPr>
          <w:color w:val="auto"/>
        </w:rPr>
        <w:t>không</w:t>
      </w:r>
      <w:r w:rsidRPr="004B67B5">
        <w:rPr>
          <w:color w:val="auto"/>
          <w:lang w:val="vi-VN"/>
        </w:rPr>
        <w:t xml:space="preserve"> thực hiện các thủ tục cần thiết theo quy định.</w:t>
      </w:r>
    </w:p>
    <w:p w:rsidR="004B67B5" w:rsidRPr="004B67B5" w:rsidRDefault="004B67B5" w:rsidP="004B67B5">
      <w:pPr>
        <w:spacing w:before="120" w:after="120"/>
        <w:ind w:firstLine="709"/>
        <w:jc w:val="both"/>
        <w:rPr>
          <w:color w:val="auto"/>
          <w:lang w:val="vi-VN"/>
        </w:rPr>
      </w:pPr>
      <w:r w:rsidRPr="004B67B5">
        <w:rPr>
          <w:color w:val="auto"/>
          <w:lang w:val="vi-VN"/>
        </w:rPr>
        <w:t>Công tác phối hợp kiểm tra, phát hiện và xử lý vi phạm giữa các ngành chức năng của huyện với UBND các xã, thị trấn chưa được thực hiện thường xuyên. Công tác tham mưu cho cấp thẩm quyền chưa thực sự hiệu quả.</w:t>
      </w:r>
    </w:p>
    <w:p w:rsidR="004B67B5" w:rsidRPr="004B67B5" w:rsidRDefault="004B67B5" w:rsidP="004B67B5">
      <w:pPr>
        <w:spacing w:before="120" w:after="120"/>
        <w:ind w:firstLine="709"/>
        <w:jc w:val="both"/>
        <w:rPr>
          <w:color w:val="auto"/>
          <w:lang w:val="vi-VN"/>
        </w:rPr>
      </w:pPr>
      <w:r w:rsidRPr="004B67B5">
        <w:rPr>
          <w:color w:val="auto"/>
        </w:rPr>
        <w:t xml:space="preserve">Công tác quy hoạch và công khai quy hoạch chưa được thực hiện đồng bộ, thường xuyên để người dân biết, thực hiện. </w:t>
      </w:r>
    </w:p>
    <w:p w:rsidR="004B67B5" w:rsidRPr="004B67B5" w:rsidRDefault="004B67B5" w:rsidP="004B67B5">
      <w:pPr>
        <w:spacing w:before="120" w:after="120"/>
        <w:ind w:firstLine="709"/>
        <w:jc w:val="both"/>
        <w:rPr>
          <w:color w:val="auto"/>
          <w:lang w:val="vi-VN"/>
        </w:rPr>
      </w:pPr>
      <w:r w:rsidRPr="004B67B5">
        <w:rPr>
          <w:color w:val="auto"/>
          <w:lang w:val="vi-VN"/>
        </w:rPr>
        <w:lastRenderedPageBreak/>
        <w:t xml:space="preserve">Công tác tuyên truyền, giáo dục pháp luật về đất đai được thực hiện nhưng chưa hiệu quả, hình thức tuyên truyền chưa sâu rộng. </w:t>
      </w:r>
    </w:p>
    <w:p w:rsidR="004B67B5" w:rsidRPr="004B67B5" w:rsidRDefault="004B67B5" w:rsidP="00681BBA">
      <w:pPr>
        <w:spacing w:before="120" w:after="120"/>
        <w:ind w:firstLine="720"/>
        <w:jc w:val="both"/>
        <w:rPr>
          <w:b/>
          <w:color w:val="auto"/>
        </w:rPr>
      </w:pPr>
      <w:r w:rsidRPr="004B67B5">
        <w:rPr>
          <w:b/>
          <w:color w:val="auto"/>
        </w:rPr>
        <w:t>2.3. Lĩnh vực xây dựng</w:t>
      </w:r>
    </w:p>
    <w:p w:rsidR="004B67B5" w:rsidRPr="004B67B5" w:rsidRDefault="004B67B5" w:rsidP="004B67B5">
      <w:pPr>
        <w:spacing w:after="120"/>
        <w:ind w:firstLine="720"/>
        <w:jc w:val="both"/>
        <w:rPr>
          <w:color w:val="auto"/>
          <w:lang w:val="vi-VN"/>
        </w:rPr>
      </w:pPr>
      <w:r w:rsidRPr="004B67B5">
        <w:rPr>
          <w:color w:val="auto"/>
          <w:lang w:val="vi-VN"/>
        </w:rPr>
        <w:t>Chính quyền một số cơ sở còn thiếu trách nhiệm trong công tác quản lý dẫn đến nhiều hành vi vi phạm không bị phát hiện và xử lý theo quy định (xây dựng vi phạm hành lang an toàn giao thông</w:t>
      </w:r>
      <w:r w:rsidRPr="004B67B5">
        <w:rPr>
          <w:color w:val="auto"/>
        </w:rPr>
        <w:t xml:space="preserve"> đường bộ</w:t>
      </w:r>
      <w:r w:rsidRPr="004B67B5">
        <w:rPr>
          <w:color w:val="auto"/>
          <w:lang w:val="vi-VN"/>
        </w:rPr>
        <w:t>). Việc kiểm tra, phát hiện và ngăn chặn các hành vi vi phạm chưa kịp thời, triệt để và thiếu quyết liệt (các trường hợp xây dựng trái phép tại xã Ya Xiêr).</w:t>
      </w:r>
    </w:p>
    <w:p w:rsidR="004B67B5" w:rsidRPr="00250F4F" w:rsidRDefault="00250F4F" w:rsidP="00250F4F">
      <w:pPr>
        <w:spacing w:before="120" w:after="120"/>
        <w:ind w:firstLine="709"/>
        <w:jc w:val="both"/>
        <w:rPr>
          <w:color w:val="auto"/>
        </w:rPr>
      </w:pPr>
      <w:r w:rsidRPr="00250F4F">
        <w:rPr>
          <w:color w:val="auto"/>
        </w:rPr>
        <w:t>Các vụ việc sau khi lập biên bản vi phạm hành chính nhưng người có thẩm quyền không ban hành quyết định xử phạt đã làm giảm tính răn đe cũng như không đảm bảo nguyên tắc xử lý vi phạm hành chính “mọi vi phạm hành chính phải được phát hiện, ngăn chặn kịp thời và phải bị xử lý nghiêm minh”, làm giảm hiệu lực, hiệu quả quản lý nhà nước của chính quyền địa phương.</w:t>
      </w:r>
    </w:p>
    <w:p w:rsidR="004B67B5" w:rsidRPr="004B67B5" w:rsidRDefault="004B67B5" w:rsidP="004B67B5">
      <w:pPr>
        <w:spacing w:before="120" w:after="120"/>
        <w:ind w:firstLine="720"/>
        <w:jc w:val="both"/>
        <w:rPr>
          <w:color w:val="auto"/>
        </w:rPr>
      </w:pPr>
      <w:r w:rsidRPr="004B67B5">
        <w:rPr>
          <w:color w:val="auto"/>
        </w:rPr>
        <w:t xml:space="preserve">Các dự án quy hoạch không có tính khả thi chưa được điều chỉnh kịp thời dẫn đến nhiều trường hợp vi phạm về xây dựng. </w:t>
      </w:r>
    </w:p>
    <w:p w:rsidR="004B67B5" w:rsidRPr="004B67B5" w:rsidRDefault="004B67B5" w:rsidP="004B67B5">
      <w:pPr>
        <w:spacing w:before="120" w:after="120"/>
        <w:ind w:firstLine="720"/>
        <w:jc w:val="both"/>
        <w:rPr>
          <w:color w:val="auto"/>
          <w:lang w:val="vi-VN"/>
        </w:rPr>
      </w:pPr>
      <w:r w:rsidRPr="004B67B5">
        <w:rPr>
          <w:color w:val="auto"/>
        </w:rPr>
        <w:t xml:space="preserve">Việc chấp hành các quyết định xử phạt vi phạm hành chính của một số đối tượng vi phạm chưa nghiêm túc nhưng chưa có biện pháp </w:t>
      </w:r>
      <w:r w:rsidRPr="004B67B5">
        <w:rPr>
          <w:color w:val="auto"/>
          <w:lang w:val="vi-VN"/>
        </w:rPr>
        <w:t xml:space="preserve">xử lý </w:t>
      </w:r>
      <w:r w:rsidRPr="004B67B5">
        <w:rPr>
          <w:color w:val="auto"/>
        </w:rPr>
        <w:t xml:space="preserve">kiên quyết </w:t>
      </w:r>
      <w:r w:rsidRPr="004B67B5">
        <w:rPr>
          <w:color w:val="auto"/>
          <w:lang w:val="vi-VN"/>
        </w:rPr>
        <w:t xml:space="preserve">(các trường hợp xây dựng trái phép tại Ya Xiêr, thị trấn) </w:t>
      </w:r>
      <w:r w:rsidRPr="004B67B5">
        <w:rPr>
          <w:color w:val="auto"/>
        </w:rPr>
        <w:t>đã làm giảm tính nghiêm minh của pháp luật, cho thấy hiệu lực và hiệu quả quản lý nhà nước chưa cao.</w:t>
      </w:r>
    </w:p>
    <w:p w:rsidR="004B67B5" w:rsidRDefault="00430D24" w:rsidP="00681BBA">
      <w:pPr>
        <w:spacing w:before="120" w:after="120"/>
        <w:ind w:firstLine="720"/>
        <w:jc w:val="both"/>
        <w:rPr>
          <w:color w:val="auto"/>
        </w:rPr>
      </w:pPr>
      <w:r w:rsidRPr="002B0940">
        <w:rPr>
          <w:b/>
          <w:color w:val="auto"/>
        </w:rPr>
        <w:t>Điều 2.</w:t>
      </w:r>
      <w:r>
        <w:rPr>
          <w:color w:val="auto"/>
        </w:rPr>
        <w:t xml:space="preserve"> </w:t>
      </w:r>
      <w:r w:rsidR="00771125">
        <w:rPr>
          <w:color w:val="auto"/>
        </w:rPr>
        <w:t>Thủ trưởng c</w:t>
      </w:r>
      <w:r w:rsidR="00996594">
        <w:rPr>
          <w:color w:val="auto"/>
        </w:rPr>
        <w:t>ác</w:t>
      </w:r>
      <w:r>
        <w:rPr>
          <w:color w:val="auto"/>
        </w:rPr>
        <w:t xml:space="preserve"> cơ quan, đơn vị </w:t>
      </w:r>
      <w:r w:rsidR="00996594">
        <w:rPr>
          <w:color w:val="auto"/>
        </w:rPr>
        <w:t xml:space="preserve">chịu sự giám sát có trách nhiệm khắc </w:t>
      </w:r>
      <w:r w:rsidR="002B0940">
        <w:rPr>
          <w:color w:val="auto"/>
        </w:rPr>
        <w:t xml:space="preserve">phục </w:t>
      </w:r>
      <w:r w:rsidR="00D93CEE">
        <w:rPr>
          <w:color w:val="auto"/>
        </w:rPr>
        <w:t>những</w:t>
      </w:r>
      <w:r w:rsidR="002B0940">
        <w:rPr>
          <w:color w:val="auto"/>
        </w:rPr>
        <w:t xml:space="preserve"> tồn tại, hạn chế trên theo đề xuất, kiến nghị của Đoàn giám sát. Báo cáo kết quả thực hiện tại Kỳ họp thứ 5 HĐND huyện khóa X (tháng 12/2017).</w:t>
      </w:r>
    </w:p>
    <w:p w:rsidR="002B0940" w:rsidRDefault="002B0940" w:rsidP="00681BBA">
      <w:pPr>
        <w:spacing w:before="120" w:after="120"/>
        <w:ind w:firstLine="720"/>
        <w:jc w:val="both"/>
        <w:rPr>
          <w:color w:val="auto"/>
        </w:rPr>
      </w:pPr>
      <w:r w:rsidRPr="00996594">
        <w:rPr>
          <w:b/>
          <w:color w:val="auto"/>
        </w:rPr>
        <w:t>Điều 3.</w:t>
      </w:r>
      <w:r>
        <w:rPr>
          <w:color w:val="auto"/>
        </w:rPr>
        <w:t xml:space="preserve"> </w:t>
      </w:r>
      <w:r w:rsidR="00996594">
        <w:rPr>
          <w:color w:val="auto"/>
        </w:rPr>
        <w:t>HĐND huyện giao UBND huyện chỉ đạo, đôn đốc các cơ quan, đơn vị và UBND các xã, thị trấn khắc phục những tồn tại, hạn chế trên; giao Thường trực HĐND huyện kiểm tra, giám sát việc thực hiện.</w:t>
      </w:r>
    </w:p>
    <w:p w:rsidR="00996594" w:rsidRPr="00356FDD" w:rsidRDefault="00996594" w:rsidP="00996594">
      <w:pPr>
        <w:spacing w:before="120" w:after="120"/>
        <w:ind w:firstLine="720"/>
        <w:jc w:val="both"/>
        <w:rPr>
          <w:color w:val="auto"/>
        </w:rPr>
      </w:pPr>
      <w:r w:rsidRPr="00356FDD">
        <w:rPr>
          <w:color w:val="auto"/>
        </w:rPr>
        <w:t xml:space="preserve">Nghị quyết này đã được Hội đồng nhân dân huyện khoá X, kỳ họp thứ </w:t>
      </w:r>
      <w:r>
        <w:rPr>
          <w:color w:val="auto"/>
        </w:rPr>
        <w:t>3</w:t>
      </w:r>
      <w:r w:rsidRPr="00356FDD">
        <w:rPr>
          <w:color w:val="auto"/>
        </w:rPr>
        <w:t xml:space="preserve"> thông qua ngày </w:t>
      </w:r>
      <w:r w:rsidR="008479F9">
        <w:rPr>
          <w:color w:val="auto"/>
        </w:rPr>
        <w:t>20</w:t>
      </w:r>
      <w:r>
        <w:rPr>
          <w:color w:val="auto"/>
        </w:rPr>
        <w:t>/12/2016</w:t>
      </w:r>
      <w:r w:rsidRPr="00356FDD">
        <w:rPr>
          <w:color w:val="auto"/>
        </w:rPr>
        <w:t>./.</w:t>
      </w:r>
    </w:p>
    <w:tbl>
      <w:tblPr>
        <w:tblW w:w="0" w:type="auto"/>
        <w:tblInd w:w="108" w:type="dxa"/>
        <w:tblLook w:val="01E0"/>
      </w:tblPr>
      <w:tblGrid>
        <w:gridCol w:w="4678"/>
        <w:gridCol w:w="4678"/>
      </w:tblGrid>
      <w:tr w:rsidR="00A83A2D" w:rsidRPr="00356FDD" w:rsidTr="00075EBE">
        <w:tc>
          <w:tcPr>
            <w:tcW w:w="4678" w:type="dxa"/>
          </w:tcPr>
          <w:p w:rsidR="00A83A2D" w:rsidRPr="00356FDD" w:rsidRDefault="00A83A2D" w:rsidP="00075EBE">
            <w:pPr>
              <w:pStyle w:val="Heading3"/>
              <w:spacing w:before="0" w:after="0"/>
              <w:rPr>
                <w:rFonts w:ascii="Times New Roman" w:hAnsi="Times New Roman"/>
                <w:color w:val="auto"/>
                <w:lang w:val="nl-NL" w:eastAsia="en-US"/>
              </w:rPr>
            </w:pPr>
          </w:p>
        </w:tc>
        <w:tc>
          <w:tcPr>
            <w:tcW w:w="4678" w:type="dxa"/>
          </w:tcPr>
          <w:p w:rsidR="00A83A2D" w:rsidRPr="00356FDD" w:rsidRDefault="00A83A2D" w:rsidP="00075EBE">
            <w:pPr>
              <w:pStyle w:val="Heading3"/>
              <w:spacing w:before="0" w:after="0"/>
              <w:jc w:val="center"/>
              <w:rPr>
                <w:rFonts w:ascii="Times New Roman" w:hAnsi="Times New Roman"/>
                <w:color w:val="auto"/>
                <w:sz w:val="28"/>
                <w:szCs w:val="28"/>
                <w:lang w:val="en-US" w:eastAsia="en-US"/>
              </w:rPr>
            </w:pPr>
            <w:r w:rsidRPr="00356FDD">
              <w:rPr>
                <w:rFonts w:ascii="Times New Roman" w:hAnsi="Times New Roman"/>
                <w:bCs w:val="0"/>
                <w:color w:val="auto"/>
                <w:sz w:val="28"/>
                <w:szCs w:val="28"/>
                <w:lang w:val="nl-NL" w:eastAsia="en-US"/>
              </w:rPr>
              <w:t>CHỦ TỊCH</w:t>
            </w:r>
          </w:p>
        </w:tc>
      </w:tr>
      <w:tr w:rsidR="00A83A2D" w:rsidRPr="00356FDD" w:rsidTr="00075EBE">
        <w:tc>
          <w:tcPr>
            <w:tcW w:w="4678" w:type="dxa"/>
          </w:tcPr>
          <w:p w:rsidR="00A83A2D" w:rsidRPr="00356FDD" w:rsidRDefault="00A83A2D" w:rsidP="00075EBE">
            <w:pPr>
              <w:pStyle w:val="Heading3"/>
              <w:spacing w:before="0" w:after="0"/>
              <w:rPr>
                <w:rFonts w:ascii="Times New Roman" w:hAnsi="Times New Roman"/>
                <w:bCs w:val="0"/>
                <w:i/>
                <w:iCs/>
                <w:color w:val="auto"/>
                <w:sz w:val="24"/>
                <w:lang w:val="nl-NL" w:eastAsia="en-US"/>
              </w:rPr>
            </w:pPr>
            <w:r w:rsidRPr="00356FDD">
              <w:rPr>
                <w:rFonts w:ascii="Times New Roman" w:hAnsi="Times New Roman"/>
                <w:bCs w:val="0"/>
                <w:i/>
                <w:iCs/>
                <w:color w:val="auto"/>
                <w:sz w:val="24"/>
                <w:lang w:val="nl-NL" w:eastAsia="en-US"/>
              </w:rPr>
              <w:t>Nơi nhận:</w:t>
            </w:r>
          </w:p>
          <w:p w:rsidR="001C0DD5" w:rsidRDefault="001C0DD5" w:rsidP="00075EBE">
            <w:pPr>
              <w:pStyle w:val="BodyText"/>
              <w:jc w:val="left"/>
              <w:rPr>
                <w:sz w:val="22"/>
                <w:lang w:val="nl-NL"/>
              </w:rPr>
            </w:pPr>
            <w:r>
              <w:rPr>
                <w:sz w:val="22"/>
                <w:lang w:val="nl-NL"/>
              </w:rPr>
              <w:t>- Thường trực HĐND tỉnh;</w:t>
            </w:r>
          </w:p>
          <w:p w:rsidR="00A83A2D" w:rsidRPr="00356FDD" w:rsidRDefault="001C0DD5" w:rsidP="00075EBE">
            <w:pPr>
              <w:pStyle w:val="BodyText"/>
              <w:jc w:val="left"/>
              <w:rPr>
                <w:b/>
                <w:sz w:val="22"/>
                <w:lang w:val="nl-NL"/>
              </w:rPr>
            </w:pPr>
            <w:r>
              <w:rPr>
                <w:sz w:val="22"/>
                <w:lang w:val="nl-NL"/>
              </w:rPr>
              <w:t xml:space="preserve">- </w:t>
            </w:r>
            <w:r w:rsidR="00A83A2D" w:rsidRPr="00356FDD">
              <w:rPr>
                <w:sz w:val="22"/>
                <w:lang w:val="nl-NL"/>
              </w:rPr>
              <w:t xml:space="preserve">UBND tỉnh;    </w:t>
            </w:r>
          </w:p>
          <w:p w:rsidR="00A83A2D" w:rsidRPr="00356FDD" w:rsidRDefault="00A83A2D" w:rsidP="00075EBE">
            <w:pPr>
              <w:rPr>
                <w:color w:val="auto"/>
                <w:lang w:val="nl-NL"/>
              </w:rPr>
            </w:pPr>
            <w:r w:rsidRPr="00356FDD">
              <w:rPr>
                <w:color w:val="auto"/>
                <w:sz w:val="22"/>
                <w:lang w:val="nl-NL"/>
              </w:rPr>
              <w:t>- Sở Tư pháp;</w:t>
            </w:r>
            <w:r w:rsidRPr="00356FDD">
              <w:rPr>
                <w:color w:val="auto"/>
                <w:sz w:val="22"/>
                <w:lang w:val="nl-NL"/>
              </w:rPr>
              <w:tab/>
            </w:r>
            <w:r w:rsidRPr="00356FDD">
              <w:rPr>
                <w:color w:val="auto"/>
                <w:sz w:val="22"/>
                <w:lang w:val="nl-NL"/>
              </w:rPr>
              <w:tab/>
              <w:t xml:space="preserve">          </w:t>
            </w:r>
            <w:r w:rsidRPr="00356FDD">
              <w:rPr>
                <w:color w:val="auto"/>
                <w:sz w:val="22"/>
                <w:lang w:val="nl-NL"/>
              </w:rPr>
              <w:tab/>
            </w:r>
            <w:r w:rsidRPr="00356FDD">
              <w:rPr>
                <w:color w:val="auto"/>
                <w:sz w:val="22"/>
                <w:lang w:val="nl-NL"/>
              </w:rPr>
              <w:tab/>
              <w:t xml:space="preserve">     </w:t>
            </w:r>
          </w:p>
          <w:p w:rsidR="00771125" w:rsidRDefault="00A83A2D" w:rsidP="00075EBE">
            <w:pPr>
              <w:rPr>
                <w:color w:val="auto"/>
                <w:sz w:val="22"/>
                <w:lang w:val="nl-NL"/>
              </w:rPr>
            </w:pPr>
            <w:r w:rsidRPr="00356FDD">
              <w:rPr>
                <w:color w:val="auto"/>
                <w:sz w:val="22"/>
                <w:lang w:val="nl-NL"/>
              </w:rPr>
              <w:t>- Thường trực Huyện ủy;</w:t>
            </w:r>
            <w:r w:rsidRPr="00356FDD">
              <w:rPr>
                <w:color w:val="auto"/>
                <w:sz w:val="22"/>
                <w:szCs w:val="20"/>
                <w:lang w:val="nl-NL"/>
              </w:rPr>
              <w:t xml:space="preserve"> </w:t>
            </w:r>
          </w:p>
          <w:p w:rsidR="00A83A2D" w:rsidRPr="00356FDD" w:rsidRDefault="00771125" w:rsidP="00075EBE">
            <w:pPr>
              <w:rPr>
                <w:color w:val="auto"/>
                <w:sz w:val="22"/>
                <w:szCs w:val="20"/>
                <w:lang w:val="nl-NL"/>
              </w:rPr>
            </w:pPr>
            <w:r>
              <w:rPr>
                <w:color w:val="auto"/>
                <w:sz w:val="22"/>
                <w:lang w:val="nl-NL"/>
              </w:rPr>
              <w:t>-</w:t>
            </w:r>
            <w:r w:rsidR="00A83A2D" w:rsidRPr="00356FDD">
              <w:rPr>
                <w:color w:val="auto"/>
                <w:sz w:val="22"/>
                <w:lang w:val="nl-NL"/>
              </w:rPr>
              <w:t xml:space="preserve"> UBND huyện;</w:t>
            </w:r>
          </w:p>
          <w:p w:rsidR="00A83A2D" w:rsidRPr="00356FDD" w:rsidRDefault="00A83A2D" w:rsidP="00075EBE">
            <w:pPr>
              <w:rPr>
                <w:color w:val="auto"/>
                <w:sz w:val="22"/>
                <w:szCs w:val="20"/>
                <w:lang w:val="nl-NL"/>
              </w:rPr>
            </w:pPr>
            <w:r w:rsidRPr="00356FDD">
              <w:rPr>
                <w:color w:val="auto"/>
                <w:sz w:val="22"/>
                <w:lang w:val="nl-NL"/>
              </w:rPr>
              <w:t>- Ban Thường trực UBMTTQ VN huyện;</w:t>
            </w:r>
          </w:p>
          <w:p w:rsidR="00A83A2D" w:rsidRPr="00356FDD" w:rsidRDefault="00A83A2D" w:rsidP="00075EBE">
            <w:pPr>
              <w:rPr>
                <w:color w:val="auto"/>
                <w:sz w:val="22"/>
                <w:szCs w:val="20"/>
                <w:lang w:val="nl-NL"/>
              </w:rPr>
            </w:pPr>
            <w:r w:rsidRPr="00356FDD">
              <w:rPr>
                <w:color w:val="auto"/>
                <w:sz w:val="22"/>
                <w:lang w:val="nl-NL"/>
              </w:rPr>
              <w:t>- Đại biểu HĐND huyện</w:t>
            </w:r>
            <w:r w:rsidR="00C83A76">
              <w:rPr>
                <w:color w:val="auto"/>
                <w:sz w:val="22"/>
                <w:lang w:val="nl-NL"/>
              </w:rPr>
              <w:t xml:space="preserve"> khóa X</w:t>
            </w:r>
            <w:r w:rsidRPr="00356FDD">
              <w:rPr>
                <w:color w:val="auto"/>
                <w:sz w:val="22"/>
                <w:lang w:val="nl-NL"/>
              </w:rPr>
              <w:t>;</w:t>
            </w:r>
            <w:r w:rsidRPr="00356FDD">
              <w:rPr>
                <w:color w:val="auto"/>
                <w:sz w:val="22"/>
                <w:lang w:val="nl-NL"/>
              </w:rPr>
              <w:tab/>
            </w:r>
          </w:p>
          <w:p w:rsidR="00A83A2D" w:rsidRPr="00356FDD" w:rsidRDefault="00A83A2D" w:rsidP="00075EBE">
            <w:pPr>
              <w:rPr>
                <w:color w:val="auto"/>
                <w:sz w:val="22"/>
                <w:szCs w:val="20"/>
                <w:lang w:val="nl-NL"/>
              </w:rPr>
            </w:pPr>
            <w:r w:rsidRPr="00356FDD">
              <w:rPr>
                <w:color w:val="auto"/>
                <w:sz w:val="22"/>
                <w:lang w:val="nl-NL"/>
              </w:rPr>
              <w:t>- Thường trực HĐND, UBND các xã, thị trấn;</w:t>
            </w:r>
          </w:p>
          <w:p w:rsidR="00A83A2D" w:rsidRPr="00356FDD" w:rsidRDefault="00A83A2D" w:rsidP="00075EBE">
            <w:pPr>
              <w:rPr>
                <w:color w:val="auto"/>
                <w:sz w:val="22"/>
                <w:szCs w:val="20"/>
                <w:lang w:val="nl-NL"/>
              </w:rPr>
            </w:pPr>
            <w:r w:rsidRPr="00356FDD">
              <w:rPr>
                <w:color w:val="auto"/>
                <w:sz w:val="22"/>
                <w:lang w:val="nl-NL"/>
              </w:rPr>
              <w:t>- Các cơ quan, ban ngành, đoàn thể huyện;</w:t>
            </w:r>
          </w:p>
          <w:p w:rsidR="00A83A2D" w:rsidRPr="00356FDD" w:rsidRDefault="00A83A2D" w:rsidP="00075EBE">
            <w:pPr>
              <w:pStyle w:val="BodyText"/>
              <w:jc w:val="left"/>
              <w:rPr>
                <w:b/>
                <w:sz w:val="22"/>
                <w:vertAlign w:val="subscript"/>
              </w:rPr>
            </w:pPr>
            <w:r w:rsidRPr="00356FDD">
              <w:rPr>
                <w:sz w:val="22"/>
                <w:szCs w:val="22"/>
              </w:rPr>
              <w:t>- Lưu: VT-LT.</w:t>
            </w:r>
            <w:r w:rsidRPr="00356FDD">
              <w:rPr>
                <w:sz w:val="22"/>
                <w:szCs w:val="22"/>
                <w:vertAlign w:val="subscript"/>
              </w:rPr>
              <w:t>(D)</w:t>
            </w:r>
          </w:p>
        </w:tc>
        <w:tc>
          <w:tcPr>
            <w:tcW w:w="4678" w:type="dxa"/>
          </w:tcPr>
          <w:p w:rsidR="00A83A2D" w:rsidRPr="00356FDD" w:rsidRDefault="00A83A2D" w:rsidP="00075EBE">
            <w:pPr>
              <w:jc w:val="center"/>
              <w:rPr>
                <w:color w:val="auto"/>
                <w:lang w:val="nl-NL"/>
              </w:rPr>
            </w:pPr>
          </w:p>
        </w:tc>
      </w:tr>
    </w:tbl>
    <w:p w:rsidR="00996594" w:rsidRPr="004B67B5" w:rsidRDefault="00996594" w:rsidP="00681BBA">
      <w:pPr>
        <w:spacing w:before="120" w:after="120"/>
        <w:ind w:firstLine="720"/>
        <w:jc w:val="both"/>
        <w:rPr>
          <w:color w:val="auto"/>
        </w:rPr>
      </w:pPr>
    </w:p>
    <w:sectPr w:rsidR="00996594" w:rsidRPr="004B67B5" w:rsidSect="00071102">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F70" w:rsidRDefault="00D94F70" w:rsidP="00DE5E6A">
      <w:r>
        <w:separator/>
      </w:r>
    </w:p>
  </w:endnote>
  <w:endnote w:type="continuationSeparator" w:id="1">
    <w:p w:rsidR="00D94F70" w:rsidRDefault="00D94F70" w:rsidP="00DE5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083"/>
      <w:docPartObj>
        <w:docPartGallery w:val="Page Numbers (Bottom of Page)"/>
        <w:docPartUnique/>
      </w:docPartObj>
    </w:sdtPr>
    <w:sdtContent>
      <w:p w:rsidR="00094B4B" w:rsidRDefault="007C6D92">
        <w:pPr>
          <w:pStyle w:val="Footer"/>
          <w:jc w:val="center"/>
        </w:pPr>
        <w:r w:rsidRPr="00094B4B">
          <w:rPr>
            <w:sz w:val="24"/>
          </w:rPr>
          <w:fldChar w:fldCharType="begin"/>
        </w:r>
        <w:r w:rsidR="00094B4B" w:rsidRPr="00094B4B">
          <w:rPr>
            <w:sz w:val="24"/>
          </w:rPr>
          <w:instrText xml:space="preserve"> PAGE   \* MERGEFORMAT </w:instrText>
        </w:r>
        <w:r w:rsidRPr="00094B4B">
          <w:rPr>
            <w:sz w:val="24"/>
          </w:rPr>
          <w:fldChar w:fldCharType="separate"/>
        </w:r>
        <w:r w:rsidR="00A850A1">
          <w:rPr>
            <w:noProof/>
            <w:sz w:val="24"/>
          </w:rPr>
          <w:t>1</w:t>
        </w:r>
        <w:r w:rsidRPr="00094B4B">
          <w:rPr>
            <w:sz w:val="24"/>
          </w:rPr>
          <w:fldChar w:fldCharType="end"/>
        </w:r>
      </w:p>
    </w:sdtContent>
  </w:sdt>
  <w:p w:rsidR="00094B4B" w:rsidRDefault="00094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F70" w:rsidRDefault="00D94F70" w:rsidP="00DE5E6A">
      <w:r>
        <w:separator/>
      </w:r>
    </w:p>
  </w:footnote>
  <w:footnote w:type="continuationSeparator" w:id="1">
    <w:p w:rsidR="00D94F70" w:rsidRDefault="00D94F70" w:rsidP="00DE5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7611"/>
    <w:multiLevelType w:val="multilevel"/>
    <w:tmpl w:val="63064DD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EAB1861"/>
    <w:multiLevelType w:val="hybridMultilevel"/>
    <w:tmpl w:val="02A0FD4E"/>
    <w:lvl w:ilvl="0" w:tplc="97868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27E21"/>
    <w:rsid w:val="0000101A"/>
    <w:rsid w:val="00071102"/>
    <w:rsid w:val="00094B4B"/>
    <w:rsid w:val="00097436"/>
    <w:rsid w:val="000D4361"/>
    <w:rsid w:val="00157C13"/>
    <w:rsid w:val="001C0DD5"/>
    <w:rsid w:val="0022002A"/>
    <w:rsid w:val="00223CE0"/>
    <w:rsid w:val="00242ECE"/>
    <w:rsid w:val="00247D4F"/>
    <w:rsid w:val="00250DD0"/>
    <w:rsid w:val="00250F4F"/>
    <w:rsid w:val="002B0940"/>
    <w:rsid w:val="00317565"/>
    <w:rsid w:val="00317B8D"/>
    <w:rsid w:val="0034563A"/>
    <w:rsid w:val="003A74AC"/>
    <w:rsid w:val="003C6AE1"/>
    <w:rsid w:val="00415810"/>
    <w:rsid w:val="00430D24"/>
    <w:rsid w:val="004A6443"/>
    <w:rsid w:val="004B67B5"/>
    <w:rsid w:val="004E4B31"/>
    <w:rsid w:val="00681BBA"/>
    <w:rsid w:val="00703A9C"/>
    <w:rsid w:val="007135E9"/>
    <w:rsid w:val="0076269A"/>
    <w:rsid w:val="00771125"/>
    <w:rsid w:val="00776285"/>
    <w:rsid w:val="007C031F"/>
    <w:rsid w:val="007C6D92"/>
    <w:rsid w:val="00834496"/>
    <w:rsid w:val="008479F9"/>
    <w:rsid w:val="0087734C"/>
    <w:rsid w:val="00925FA8"/>
    <w:rsid w:val="009855D4"/>
    <w:rsid w:val="00985EB7"/>
    <w:rsid w:val="00996594"/>
    <w:rsid w:val="009B7353"/>
    <w:rsid w:val="00A213F2"/>
    <w:rsid w:val="00A56DCE"/>
    <w:rsid w:val="00A83A2D"/>
    <w:rsid w:val="00A850A1"/>
    <w:rsid w:val="00AE1603"/>
    <w:rsid w:val="00B16037"/>
    <w:rsid w:val="00B16CDD"/>
    <w:rsid w:val="00B25C76"/>
    <w:rsid w:val="00B27E21"/>
    <w:rsid w:val="00C033AD"/>
    <w:rsid w:val="00C83A76"/>
    <w:rsid w:val="00D473D0"/>
    <w:rsid w:val="00D93CEE"/>
    <w:rsid w:val="00D94F70"/>
    <w:rsid w:val="00DB2918"/>
    <w:rsid w:val="00DE5E07"/>
    <w:rsid w:val="00DE5E6A"/>
    <w:rsid w:val="00E412DF"/>
    <w:rsid w:val="00E6571F"/>
    <w:rsid w:val="00E709D7"/>
    <w:rsid w:val="00EF4F2B"/>
    <w:rsid w:val="00F16FE6"/>
    <w:rsid w:val="00F77E63"/>
    <w:rsid w:val="00F82CFF"/>
    <w:rsid w:val="00FB1A53"/>
    <w:rsid w:val="00FD09C9"/>
    <w:rsid w:val="00FD1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21"/>
    <w:pPr>
      <w:spacing w:before="0" w:after="0"/>
      <w:jc w:val="left"/>
    </w:pPr>
    <w:rPr>
      <w:rFonts w:eastAsia="Times New Roman" w:cs="Times New Roman"/>
      <w:color w:val="0000FF"/>
      <w:szCs w:val="24"/>
    </w:rPr>
  </w:style>
  <w:style w:type="paragraph" w:styleId="Heading3">
    <w:name w:val="heading 3"/>
    <w:basedOn w:val="Normal"/>
    <w:next w:val="Normal"/>
    <w:link w:val="Heading3Char"/>
    <w:qFormat/>
    <w:rsid w:val="00A83A2D"/>
    <w:pPr>
      <w:keepNext/>
      <w:spacing w:before="240" w:after="60"/>
      <w:outlineLvl w:val="2"/>
    </w:pPr>
    <w:rPr>
      <w:rFonts w:ascii="Arial" w:hAnsi="Arial"/>
      <w:b/>
      <w:b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7E21"/>
    <w:pPr>
      <w:spacing w:before="0" w:after="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D15C0"/>
    <w:pPr>
      <w:jc w:val="both"/>
    </w:pPr>
    <w:rPr>
      <w:color w:val="auto"/>
    </w:rPr>
  </w:style>
  <w:style w:type="character" w:customStyle="1" w:styleId="BodyTextChar">
    <w:name w:val="Body Text Char"/>
    <w:basedOn w:val="DefaultParagraphFont"/>
    <w:link w:val="BodyText"/>
    <w:rsid w:val="00FD15C0"/>
    <w:rPr>
      <w:rFonts w:eastAsia="Times New Roman" w:cs="Times New Roman"/>
      <w:szCs w:val="24"/>
    </w:rPr>
  </w:style>
  <w:style w:type="paragraph" w:styleId="ListParagraph">
    <w:name w:val="List Paragraph"/>
    <w:basedOn w:val="Normal"/>
    <w:uiPriority w:val="34"/>
    <w:qFormat/>
    <w:rsid w:val="00681BBA"/>
    <w:pPr>
      <w:ind w:left="720"/>
      <w:contextualSpacing/>
    </w:pPr>
  </w:style>
  <w:style w:type="paragraph" w:styleId="FootnoteText">
    <w:name w:val="footnote text"/>
    <w:basedOn w:val="Normal"/>
    <w:link w:val="FootnoteTextChar"/>
    <w:uiPriority w:val="99"/>
    <w:semiHidden/>
    <w:unhideWhenUsed/>
    <w:rsid w:val="00DE5E6A"/>
    <w:rPr>
      <w:color w:val="auto"/>
      <w:sz w:val="20"/>
      <w:szCs w:val="20"/>
    </w:rPr>
  </w:style>
  <w:style w:type="character" w:customStyle="1" w:styleId="FootnoteTextChar">
    <w:name w:val="Footnote Text Char"/>
    <w:basedOn w:val="DefaultParagraphFont"/>
    <w:link w:val="FootnoteText"/>
    <w:uiPriority w:val="99"/>
    <w:semiHidden/>
    <w:rsid w:val="00DE5E6A"/>
    <w:rPr>
      <w:rFonts w:eastAsia="Times New Roman" w:cs="Times New Roman"/>
      <w:sz w:val="20"/>
      <w:szCs w:val="20"/>
    </w:rPr>
  </w:style>
  <w:style w:type="character" w:styleId="FootnoteReference">
    <w:name w:val="footnote reference"/>
    <w:basedOn w:val="DefaultParagraphFont"/>
    <w:uiPriority w:val="99"/>
    <w:semiHidden/>
    <w:unhideWhenUsed/>
    <w:rsid w:val="00DE5E6A"/>
    <w:rPr>
      <w:vertAlign w:val="superscript"/>
    </w:rPr>
  </w:style>
  <w:style w:type="character" w:customStyle="1" w:styleId="Heading3Char">
    <w:name w:val="Heading 3 Char"/>
    <w:basedOn w:val="DefaultParagraphFont"/>
    <w:link w:val="Heading3"/>
    <w:rsid w:val="00A83A2D"/>
    <w:rPr>
      <w:rFonts w:ascii="Arial" w:eastAsia="Times New Roman" w:hAnsi="Arial" w:cs="Times New Roman"/>
      <w:b/>
      <w:bCs/>
      <w:color w:val="0000FF"/>
      <w:sz w:val="26"/>
      <w:szCs w:val="26"/>
      <w:lang w:val="vi-VN" w:eastAsia="vi-VN"/>
    </w:rPr>
  </w:style>
  <w:style w:type="paragraph" w:styleId="Header">
    <w:name w:val="header"/>
    <w:basedOn w:val="Normal"/>
    <w:link w:val="HeaderChar"/>
    <w:uiPriority w:val="99"/>
    <w:semiHidden/>
    <w:unhideWhenUsed/>
    <w:rsid w:val="00094B4B"/>
    <w:pPr>
      <w:tabs>
        <w:tab w:val="center" w:pos="4680"/>
        <w:tab w:val="right" w:pos="9360"/>
      </w:tabs>
    </w:pPr>
  </w:style>
  <w:style w:type="character" w:customStyle="1" w:styleId="HeaderChar">
    <w:name w:val="Header Char"/>
    <w:basedOn w:val="DefaultParagraphFont"/>
    <w:link w:val="Header"/>
    <w:uiPriority w:val="99"/>
    <w:semiHidden/>
    <w:rsid w:val="00094B4B"/>
    <w:rPr>
      <w:rFonts w:eastAsia="Times New Roman" w:cs="Times New Roman"/>
      <w:color w:val="0000FF"/>
      <w:szCs w:val="24"/>
    </w:rPr>
  </w:style>
  <w:style w:type="paragraph" w:styleId="Footer">
    <w:name w:val="footer"/>
    <w:basedOn w:val="Normal"/>
    <w:link w:val="FooterChar"/>
    <w:uiPriority w:val="99"/>
    <w:unhideWhenUsed/>
    <w:rsid w:val="00094B4B"/>
    <w:pPr>
      <w:tabs>
        <w:tab w:val="center" w:pos="4680"/>
        <w:tab w:val="right" w:pos="9360"/>
      </w:tabs>
    </w:pPr>
  </w:style>
  <w:style w:type="character" w:customStyle="1" w:styleId="FooterChar">
    <w:name w:val="Footer Char"/>
    <w:basedOn w:val="DefaultParagraphFont"/>
    <w:link w:val="Footer"/>
    <w:uiPriority w:val="99"/>
    <w:rsid w:val="00094B4B"/>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HTC_DUNG</dc:creator>
  <cp:lastModifiedBy>HTC_DUNG</cp:lastModifiedBy>
  <cp:revision>30</cp:revision>
  <dcterms:created xsi:type="dcterms:W3CDTF">2016-11-16T12:31:00Z</dcterms:created>
  <dcterms:modified xsi:type="dcterms:W3CDTF">2017-03-24T02:24:00Z</dcterms:modified>
</cp:coreProperties>
</file>