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5913"/>
      </w:tblGrid>
      <w:tr w:rsidR="00B35EB0" w:rsidRPr="00D80CA3" w:rsidTr="00787582">
        <w:trPr>
          <w:trHeight w:hRule="exact" w:val="927"/>
        </w:trPr>
        <w:tc>
          <w:tcPr>
            <w:tcW w:w="1842" w:type="pct"/>
            <w:tcBorders>
              <w:top w:val="nil"/>
              <w:left w:val="nil"/>
              <w:bottom w:val="nil"/>
              <w:right w:val="nil"/>
            </w:tcBorders>
          </w:tcPr>
          <w:p w:rsidR="00B35EB0" w:rsidRPr="00D80CA3" w:rsidRDefault="00B35EB0" w:rsidP="00787582">
            <w:pPr>
              <w:spacing w:before="60"/>
              <w:jc w:val="center"/>
              <w:rPr>
                <w:b/>
                <w:color w:val="auto"/>
                <w:sz w:val="26"/>
              </w:rPr>
            </w:pPr>
            <w:r w:rsidRPr="00D80CA3">
              <w:rPr>
                <w:b/>
                <w:color w:val="auto"/>
                <w:sz w:val="26"/>
              </w:rPr>
              <w:t>HỘI ĐỒNG NHÂN DÂN</w:t>
            </w:r>
          </w:p>
          <w:p w:rsidR="00B35EB0" w:rsidRPr="00D80CA3" w:rsidRDefault="00B35EB0" w:rsidP="00787582">
            <w:pPr>
              <w:jc w:val="center"/>
              <w:rPr>
                <w:b/>
                <w:color w:val="auto"/>
                <w:sz w:val="26"/>
              </w:rPr>
            </w:pPr>
            <w:r w:rsidRPr="00D80CA3">
              <w:rPr>
                <w:b/>
                <w:color w:val="auto"/>
                <w:sz w:val="26"/>
              </w:rPr>
              <w:t>HUYỆN SA THẦY</w:t>
            </w:r>
          </w:p>
        </w:tc>
        <w:tc>
          <w:tcPr>
            <w:tcW w:w="3158" w:type="pct"/>
            <w:tcBorders>
              <w:top w:val="nil"/>
              <w:left w:val="nil"/>
              <w:bottom w:val="nil"/>
              <w:right w:val="nil"/>
            </w:tcBorders>
          </w:tcPr>
          <w:p w:rsidR="00B35EB0" w:rsidRPr="00D80CA3" w:rsidRDefault="00B35EB0" w:rsidP="00787582">
            <w:pPr>
              <w:spacing w:before="60"/>
              <w:jc w:val="center"/>
              <w:rPr>
                <w:b/>
                <w:color w:val="auto"/>
                <w:sz w:val="26"/>
              </w:rPr>
            </w:pPr>
            <w:r w:rsidRPr="00D80CA3">
              <w:rPr>
                <w:b/>
                <w:color w:val="auto"/>
                <w:sz w:val="26"/>
              </w:rPr>
              <w:t>CỘNG HÒA XÃ HỘI CHỦ NGHĨA VIỆT NAM</w:t>
            </w:r>
          </w:p>
          <w:p w:rsidR="00B35EB0" w:rsidRPr="00D80CA3" w:rsidRDefault="00B35EB0" w:rsidP="00787582">
            <w:pPr>
              <w:jc w:val="center"/>
              <w:rPr>
                <w:b/>
                <w:color w:val="auto"/>
                <w:sz w:val="26"/>
              </w:rPr>
            </w:pPr>
            <w:r w:rsidRPr="00BA4BC0">
              <w:rPr>
                <w:b/>
                <w:noProof/>
                <w:color w:val="auto"/>
              </w:rPr>
              <w:pict>
                <v:shapetype id="_x0000_t32" coordsize="21600,21600" o:spt="32" o:oned="t" path="m,l21600,21600e" filled="f">
                  <v:path arrowok="t" fillok="f" o:connecttype="none"/>
                  <o:lock v:ext="edit" shapetype="t"/>
                </v:shapetype>
                <v:shape id="_x0000_s1027" type="#_x0000_t32" style="position:absolute;left:0;text-align:left;margin-left:57.9pt;margin-top:18.3pt;width:167.1pt;height:0;z-index:251661312" o:connectortype="straight"/>
              </w:pict>
            </w:r>
            <w:r w:rsidRPr="00D80CA3">
              <w:rPr>
                <w:b/>
                <w:color w:val="auto"/>
              </w:rPr>
              <w:t>Độc lập - Tự do - Hạnh phúc</w:t>
            </w:r>
          </w:p>
        </w:tc>
      </w:tr>
      <w:tr w:rsidR="00B35EB0" w:rsidRPr="00D80CA3" w:rsidTr="00787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1842" w:type="pct"/>
          </w:tcPr>
          <w:p w:rsidR="00B35EB0" w:rsidRPr="00D80CA3" w:rsidRDefault="00B35EB0" w:rsidP="00787582">
            <w:pPr>
              <w:spacing w:before="60"/>
              <w:jc w:val="center"/>
              <w:rPr>
                <w:color w:val="auto"/>
                <w:sz w:val="26"/>
              </w:rPr>
            </w:pPr>
            <w:r w:rsidRPr="00D80CA3">
              <w:rPr>
                <w:color w:val="auto"/>
              </w:rPr>
              <w:t>Số:  35/2016/NQ-HĐND</w:t>
            </w:r>
          </w:p>
        </w:tc>
        <w:tc>
          <w:tcPr>
            <w:tcW w:w="3158" w:type="pct"/>
          </w:tcPr>
          <w:p w:rsidR="00B35EB0" w:rsidRPr="00D80CA3" w:rsidRDefault="00B35EB0" w:rsidP="00787582">
            <w:pPr>
              <w:spacing w:before="60"/>
              <w:jc w:val="center"/>
              <w:rPr>
                <w:i/>
                <w:color w:val="auto"/>
              </w:rPr>
            </w:pPr>
            <w:r w:rsidRPr="00D80CA3">
              <w:rPr>
                <w:i/>
                <w:color w:val="auto"/>
              </w:rPr>
              <w:t>Sa Thầy, ngày</w:t>
            </w:r>
            <w:r w:rsidRPr="00D80CA3">
              <w:rPr>
                <w:i/>
                <w:color w:val="auto"/>
                <w:lang w:val="nl-NL"/>
              </w:rPr>
              <w:t xml:space="preserve"> 19  </w:t>
            </w:r>
            <w:r w:rsidRPr="00D80CA3">
              <w:rPr>
                <w:i/>
                <w:color w:val="auto"/>
              </w:rPr>
              <w:t>tháng 8   năm 2016</w:t>
            </w:r>
          </w:p>
          <w:p w:rsidR="00B35EB0" w:rsidRPr="00D80CA3" w:rsidRDefault="00B35EB0" w:rsidP="00787582">
            <w:pPr>
              <w:spacing w:before="60"/>
              <w:jc w:val="center"/>
              <w:rPr>
                <w:i/>
                <w:color w:val="auto"/>
                <w:sz w:val="16"/>
              </w:rPr>
            </w:pPr>
          </w:p>
        </w:tc>
      </w:tr>
    </w:tbl>
    <w:p w:rsidR="00B35EB0" w:rsidRPr="00D80CA3" w:rsidRDefault="00B35EB0" w:rsidP="00B35EB0">
      <w:pPr>
        <w:pStyle w:val="Tren-giua"/>
        <w:rPr>
          <w:b/>
          <w:color w:val="auto"/>
          <w:lang w:val="en-US"/>
        </w:rPr>
      </w:pPr>
      <w:r>
        <w:rPr>
          <w:b/>
          <w:noProof/>
          <w:color w:val="auto"/>
          <w:lang w:val="en-US" w:eastAsia="en-US"/>
        </w:rPr>
        <w:pict>
          <v:shape id="_x0000_s1026" type="#_x0000_t32" style="position:absolute;left:0;text-align:left;margin-left:68.1pt;margin-top:-41.95pt;width:20.95pt;height:0;z-index:251660288;mso-position-horizontal-relative:text;mso-position-vertical-relative:text" o:connectortype="straight"/>
        </w:pict>
      </w:r>
    </w:p>
    <w:p w:rsidR="00B35EB0" w:rsidRPr="00D80CA3" w:rsidRDefault="00B35EB0" w:rsidP="00B35EB0">
      <w:pPr>
        <w:pStyle w:val="Tren-giua"/>
        <w:rPr>
          <w:b/>
          <w:color w:val="auto"/>
        </w:rPr>
      </w:pPr>
      <w:r w:rsidRPr="00D80CA3">
        <w:rPr>
          <w:b/>
          <w:color w:val="auto"/>
        </w:rPr>
        <w:t>NGHỊ QUYẾT</w:t>
      </w:r>
    </w:p>
    <w:p w:rsidR="00B35EB0" w:rsidRPr="00D80CA3" w:rsidRDefault="00B35EB0" w:rsidP="00B35EB0">
      <w:pPr>
        <w:jc w:val="center"/>
        <w:rPr>
          <w:b/>
          <w:color w:val="auto"/>
        </w:rPr>
      </w:pPr>
      <w:r w:rsidRPr="00D80CA3">
        <w:rPr>
          <w:b/>
          <w:color w:val="auto"/>
        </w:rPr>
        <w:t xml:space="preserve">Về tình hình thực hiện các nhiệm vụ phát triển kinh tế - xã hội, </w:t>
      </w:r>
    </w:p>
    <w:p w:rsidR="00B35EB0" w:rsidRPr="00D80CA3" w:rsidRDefault="00B35EB0" w:rsidP="00B35EB0">
      <w:pPr>
        <w:jc w:val="center"/>
        <w:rPr>
          <w:b/>
          <w:color w:val="auto"/>
        </w:rPr>
      </w:pPr>
      <w:r w:rsidRPr="00D80CA3">
        <w:rPr>
          <w:b/>
          <w:color w:val="auto"/>
        </w:rPr>
        <w:t xml:space="preserve">quốc phòng - an ninh 6 tháng đầu năm; nhiệm vụ trọng tâm </w:t>
      </w:r>
    </w:p>
    <w:p w:rsidR="00B35EB0" w:rsidRPr="00D80CA3" w:rsidRDefault="00B35EB0" w:rsidP="00B35EB0">
      <w:pPr>
        <w:jc w:val="center"/>
        <w:rPr>
          <w:b/>
          <w:color w:val="auto"/>
        </w:rPr>
      </w:pPr>
      <w:r w:rsidRPr="00D80CA3">
        <w:rPr>
          <w:b/>
          <w:color w:val="auto"/>
        </w:rPr>
        <w:t>6 tháng cuối năm 2016</w:t>
      </w:r>
    </w:p>
    <w:p w:rsidR="00B35EB0" w:rsidRPr="00D80CA3" w:rsidRDefault="00B35EB0" w:rsidP="00B35EB0">
      <w:pPr>
        <w:jc w:val="center"/>
        <w:rPr>
          <w:b/>
          <w:color w:val="auto"/>
          <w:sz w:val="22"/>
        </w:rPr>
      </w:pPr>
      <w:r>
        <w:rPr>
          <w:b/>
          <w:noProof/>
          <w:color w:val="auto"/>
          <w:sz w:val="22"/>
        </w:rPr>
        <w:pict>
          <v:shape id="_x0000_s1028" type="#_x0000_t32" style="position:absolute;left:0;text-align:left;margin-left:216.9pt;margin-top:2.1pt;width:24.75pt;height:0;z-index:251662336" o:connectortype="straight"/>
        </w:pict>
      </w:r>
    </w:p>
    <w:p w:rsidR="00B35EB0" w:rsidRPr="00D80CA3" w:rsidRDefault="00B35EB0" w:rsidP="00B35EB0">
      <w:pPr>
        <w:jc w:val="center"/>
        <w:rPr>
          <w:b/>
          <w:color w:val="auto"/>
        </w:rPr>
      </w:pPr>
    </w:p>
    <w:p w:rsidR="00B35EB0" w:rsidRPr="00D80CA3" w:rsidRDefault="00B35EB0" w:rsidP="00B35EB0">
      <w:pPr>
        <w:jc w:val="center"/>
        <w:rPr>
          <w:b/>
          <w:color w:val="auto"/>
        </w:rPr>
      </w:pPr>
      <w:r w:rsidRPr="00D80CA3">
        <w:rPr>
          <w:b/>
          <w:color w:val="auto"/>
        </w:rPr>
        <w:t>HỘI ĐỒNG NHÂN DÂN HUYỆN SA THẦY</w:t>
      </w:r>
    </w:p>
    <w:p w:rsidR="00B35EB0" w:rsidRPr="00D80CA3" w:rsidRDefault="00B35EB0" w:rsidP="00B35EB0">
      <w:pPr>
        <w:jc w:val="center"/>
        <w:rPr>
          <w:b/>
          <w:color w:val="auto"/>
        </w:rPr>
      </w:pPr>
      <w:r w:rsidRPr="00D80CA3">
        <w:rPr>
          <w:b/>
          <w:color w:val="auto"/>
        </w:rPr>
        <w:t>KHÓA X, KỲ HỌP THỨ 2</w:t>
      </w:r>
    </w:p>
    <w:p w:rsidR="00B35EB0" w:rsidRPr="00D80CA3" w:rsidRDefault="00B35EB0" w:rsidP="00B35EB0">
      <w:pPr>
        <w:rPr>
          <w:color w:val="auto"/>
          <w:sz w:val="16"/>
        </w:rPr>
      </w:pPr>
      <w:r w:rsidRPr="00D80CA3">
        <w:rPr>
          <w:color w:val="auto"/>
          <w:sz w:val="16"/>
        </w:rPr>
        <w:tab/>
      </w:r>
    </w:p>
    <w:p w:rsidR="00B35EB0" w:rsidRPr="00D80CA3" w:rsidRDefault="00B35EB0" w:rsidP="00B35EB0">
      <w:pPr>
        <w:spacing w:before="120" w:after="120"/>
        <w:ind w:firstLine="720"/>
        <w:jc w:val="both"/>
        <w:rPr>
          <w:i/>
          <w:color w:val="auto"/>
        </w:rPr>
      </w:pPr>
      <w:r w:rsidRPr="00D80CA3">
        <w:rPr>
          <w:i/>
          <w:color w:val="auto"/>
        </w:rPr>
        <w:t>Căn cứ Luật Tổ chức chính quyền địa phương ngày 19/6/ 2015;</w:t>
      </w:r>
    </w:p>
    <w:p w:rsidR="00B35EB0" w:rsidRPr="00D80CA3" w:rsidRDefault="00B35EB0" w:rsidP="00B35EB0">
      <w:pPr>
        <w:spacing w:before="120" w:after="120"/>
        <w:ind w:firstLine="720"/>
        <w:jc w:val="both"/>
        <w:rPr>
          <w:i/>
          <w:color w:val="auto"/>
        </w:rPr>
      </w:pPr>
      <w:r w:rsidRPr="00D80CA3">
        <w:rPr>
          <w:i/>
          <w:color w:val="auto"/>
        </w:rPr>
        <w:t>Căn cứ Luật Ban hành văn bản quy phạm pháp luật ngày 22/6/2015;</w:t>
      </w:r>
    </w:p>
    <w:p w:rsidR="00B35EB0" w:rsidRPr="00D80CA3" w:rsidRDefault="00B35EB0" w:rsidP="00B35EB0">
      <w:pPr>
        <w:spacing w:before="120" w:after="120"/>
        <w:ind w:firstLine="720"/>
        <w:jc w:val="both"/>
        <w:rPr>
          <w:i/>
          <w:color w:val="auto"/>
        </w:rPr>
      </w:pPr>
      <w:r w:rsidRPr="00D80CA3">
        <w:rPr>
          <w:i/>
          <w:color w:val="auto"/>
        </w:rPr>
        <w:t>Xét Báo cáo số 320/BC-UBND ngày 29/7/2016 của Ủy ban nhân dân huyện về tình hình thực hiện nhiệm vụ phát triển kinh tế - xã hội, quốc phòng - an ninh 6 tháng đầu năm; nhiệm vụ trọng tâm 6 tháng cuối năm 2016; Báo cáo thẩm tra của Ban Kinh tế  - Xã hội của HĐND huyện và ý kiến tham gia của các đại biểu Hội đồng nhân dân huyện tại kỳ họp.</w:t>
      </w:r>
    </w:p>
    <w:p w:rsidR="00B35EB0" w:rsidRPr="00D80CA3" w:rsidRDefault="00B35EB0" w:rsidP="00B35EB0">
      <w:pPr>
        <w:spacing w:before="240" w:after="240"/>
        <w:ind w:firstLine="720"/>
        <w:jc w:val="center"/>
        <w:rPr>
          <w:b/>
          <w:color w:val="auto"/>
        </w:rPr>
      </w:pPr>
      <w:r w:rsidRPr="00D80CA3">
        <w:rPr>
          <w:b/>
          <w:color w:val="auto"/>
        </w:rPr>
        <w:t>QUYẾT NGHỊ:</w:t>
      </w:r>
    </w:p>
    <w:p w:rsidR="00B35EB0" w:rsidRPr="00D80CA3" w:rsidRDefault="00B35EB0" w:rsidP="00B35EB0">
      <w:pPr>
        <w:spacing w:before="120" w:after="120"/>
        <w:ind w:firstLine="709"/>
        <w:jc w:val="both"/>
        <w:rPr>
          <w:color w:val="auto"/>
        </w:rPr>
      </w:pPr>
      <w:r w:rsidRPr="00D80CA3">
        <w:rPr>
          <w:b/>
          <w:color w:val="auto"/>
        </w:rPr>
        <w:t>Điều 1.</w:t>
      </w:r>
      <w:r w:rsidRPr="00D80CA3">
        <w:rPr>
          <w:color w:val="auto"/>
        </w:rPr>
        <w:t xml:space="preserve"> Tán thành với đánh giá tình hình thực hiện nhiệm vụ phát triển kinh tế - xã hội, quốc phòng - an ninh 6 tháng đầu năm; nhiệm vụ trọng tâm 6 tháng cuối năm 2016 của Ủy ban nhân dân huyện. </w:t>
      </w:r>
    </w:p>
    <w:p w:rsidR="00B35EB0" w:rsidRPr="00D80CA3" w:rsidRDefault="00B35EB0" w:rsidP="00B35EB0">
      <w:pPr>
        <w:spacing w:before="120" w:after="120"/>
        <w:ind w:firstLine="709"/>
        <w:jc w:val="both"/>
        <w:rPr>
          <w:color w:val="auto"/>
        </w:rPr>
      </w:pPr>
      <w:r w:rsidRPr="00D80CA3">
        <w:rPr>
          <w:color w:val="auto"/>
        </w:rPr>
        <w:t>Trong 6 tháng đầu năm 2016, mặc dù đối mặt với không ít khó khăn, thách thức do thời tiết diễn biến bất thường, an ninh chính trị tiềm ẩn nhiều yếu tố phức tạp, nhưng dưới sự lãnh đạo, chỉ đạo sát sao của Huyện ủy, sự nỗ lực của các cấp chính quyền, tình hình kinh tế - xã hội của huyện đã có nhiều chuyển biến tích cực:</w:t>
      </w:r>
    </w:p>
    <w:p w:rsidR="00B35EB0" w:rsidRPr="00D80CA3" w:rsidRDefault="00B35EB0" w:rsidP="00B35EB0">
      <w:pPr>
        <w:spacing w:before="120" w:after="120"/>
        <w:ind w:firstLine="709"/>
        <w:jc w:val="both"/>
        <w:rPr>
          <w:color w:val="auto"/>
        </w:rPr>
      </w:pPr>
      <w:r w:rsidRPr="00D80CA3">
        <w:rPr>
          <w:color w:val="auto"/>
        </w:rPr>
        <w:t>- Giá trị nông, lâm, thủy sản ước đạt 128,065 triệu đồng (đạt 17,72% kế hoạch), trong đó:</w:t>
      </w:r>
    </w:p>
    <w:p w:rsidR="00B35EB0" w:rsidRPr="00D80CA3" w:rsidRDefault="00B35EB0" w:rsidP="00B35EB0">
      <w:pPr>
        <w:spacing w:before="120" w:after="120"/>
        <w:ind w:firstLine="709"/>
        <w:jc w:val="both"/>
        <w:rPr>
          <w:color w:val="auto"/>
        </w:rPr>
      </w:pPr>
      <w:r w:rsidRPr="00D80CA3">
        <w:rPr>
          <w:color w:val="auto"/>
        </w:rPr>
        <w:t>+ Tổng diện tích gieo trồng ước thực hiện 23.282 ha (đạt 88,51% kế hoạch);</w:t>
      </w:r>
    </w:p>
    <w:p w:rsidR="00B35EB0" w:rsidRPr="00D80CA3" w:rsidRDefault="00B35EB0" w:rsidP="00B35EB0">
      <w:pPr>
        <w:spacing w:before="120" w:after="120"/>
        <w:ind w:firstLine="709"/>
        <w:jc w:val="both"/>
        <w:rPr>
          <w:color w:val="auto"/>
        </w:rPr>
      </w:pPr>
      <w:r w:rsidRPr="00D80CA3">
        <w:rPr>
          <w:color w:val="auto"/>
        </w:rPr>
        <w:t>+ Tổng đàn gia súc 19.779 con (đạt 105,6% kế hoạch);</w:t>
      </w:r>
    </w:p>
    <w:p w:rsidR="00B35EB0" w:rsidRPr="00D80CA3" w:rsidRDefault="00B35EB0" w:rsidP="00B35EB0">
      <w:pPr>
        <w:spacing w:before="120" w:after="120"/>
        <w:ind w:firstLine="709"/>
        <w:jc w:val="both"/>
        <w:rPr>
          <w:color w:val="auto"/>
        </w:rPr>
      </w:pPr>
      <w:r w:rsidRPr="00D80CA3">
        <w:rPr>
          <w:color w:val="auto"/>
        </w:rPr>
        <w:t>+ Sản lượng khai thác thủy sản 258 tấn (đạt 41,46% kế hoạch).</w:t>
      </w:r>
    </w:p>
    <w:p w:rsidR="00B35EB0" w:rsidRPr="00D80CA3" w:rsidRDefault="00B35EB0" w:rsidP="00B35EB0">
      <w:pPr>
        <w:spacing w:before="120" w:after="120"/>
        <w:ind w:firstLine="709"/>
        <w:jc w:val="both"/>
        <w:rPr>
          <w:color w:val="auto"/>
        </w:rPr>
      </w:pPr>
      <w:r w:rsidRPr="00D80CA3">
        <w:rPr>
          <w:color w:val="auto"/>
        </w:rPr>
        <w:t>- Giá trị sản xuất công nghiệp – xây dựng ước đạt 517.411 triệu đồng (đạt 50,86% kế hoạch).</w:t>
      </w:r>
    </w:p>
    <w:p w:rsidR="00B35EB0" w:rsidRPr="00D80CA3" w:rsidRDefault="00B35EB0" w:rsidP="00B35EB0">
      <w:pPr>
        <w:spacing w:before="120" w:after="120"/>
        <w:ind w:firstLine="709"/>
        <w:jc w:val="both"/>
        <w:rPr>
          <w:color w:val="auto"/>
        </w:rPr>
      </w:pPr>
      <w:r w:rsidRPr="00D80CA3">
        <w:rPr>
          <w:color w:val="auto"/>
        </w:rPr>
        <w:t>- Giá trị thương mại – dịch vụ ước đạt 318.634 triệu đồng (đạt 53,46% kế hoạch).</w:t>
      </w:r>
    </w:p>
    <w:p w:rsidR="00B35EB0" w:rsidRPr="00D80CA3" w:rsidRDefault="00B35EB0" w:rsidP="00B35EB0">
      <w:pPr>
        <w:spacing w:before="120" w:after="120"/>
        <w:ind w:firstLine="709"/>
        <w:jc w:val="both"/>
        <w:rPr>
          <w:color w:val="auto"/>
        </w:rPr>
      </w:pPr>
      <w:r w:rsidRPr="00D80CA3">
        <w:rPr>
          <w:color w:val="auto"/>
        </w:rPr>
        <w:lastRenderedPageBreak/>
        <w:t>Công tác quản lý bảo vệ rừng, quản lý đất đai, tài nguyên, khoáng sản, xây dựng nông thôn mới được triển khai thực hiện quyết liệt. Giáo dục, y tế, văn hóa, an sinh xã hội có nhiều chuyển biến, góp phần nâng cao chất lượng đời sống của nhân dân. Quốc phòng, an ninh được giữ vững, chính quyền cơ sở được củng cố, kiện toàn, cơ bản đáp ứng yêu cầu nhiệm vụ trong tình hình mới.</w:t>
      </w:r>
    </w:p>
    <w:p w:rsidR="00B35EB0" w:rsidRPr="00D80CA3" w:rsidRDefault="00B35EB0" w:rsidP="00B35EB0">
      <w:pPr>
        <w:spacing w:before="120" w:after="120"/>
        <w:ind w:firstLine="709"/>
        <w:jc w:val="both"/>
        <w:rPr>
          <w:color w:val="auto"/>
        </w:rPr>
      </w:pPr>
      <w:r w:rsidRPr="00D80CA3">
        <w:rPr>
          <w:color w:val="auto"/>
        </w:rPr>
        <w:t>Bên cạnh những kết quả đạt được, vẫn còn một số tồn tại, hạn chế: giá trị sản xuất trên các lĩnh vực còn thấp so với kế hoạch đề ra; công tác khám chữa bệnh, chăm sóc sức khỏe nhân dân còn hạn chế; tình hình tội phạm, vi phạm pháp luật có chiều hướng gia tăng; tình trạng khai thác, vận chuyển lâm sản trái phép chưa được ngăn chặn triệt để; kỷ luật, kỷ cương hành chính một số nơi còn chưa nghiêm…</w:t>
      </w:r>
    </w:p>
    <w:p w:rsidR="00B35EB0" w:rsidRPr="00D80CA3" w:rsidRDefault="00B35EB0" w:rsidP="00B35EB0">
      <w:pPr>
        <w:spacing w:before="120" w:after="120"/>
        <w:ind w:firstLine="709"/>
        <w:jc w:val="both"/>
        <w:rPr>
          <w:color w:val="auto"/>
        </w:rPr>
      </w:pPr>
      <w:r w:rsidRPr="00D80CA3">
        <w:rPr>
          <w:b/>
          <w:color w:val="auto"/>
        </w:rPr>
        <w:t>Điều 2.</w:t>
      </w:r>
      <w:r w:rsidRPr="00D80CA3">
        <w:rPr>
          <w:color w:val="auto"/>
        </w:rPr>
        <w:t xml:space="preserve"> Để thực hiện thắng lợi kế hoạch phát triển kinh tế - xã hội, quốc phòng an ninh năm 2016, trong 6 tháng cuối năm 2016, tiếp tục đẩy mạnh thực hiện những nhiệm vụ, giải pháp trọng tâm tại Nghị quyết số 22/2015/NQ-HĐND ngày 18/12/2015 của Hội đồng nhân dân huyện và các nhiệm vụ, giải pháp được xác định tại các báo cáo của UBND huyện, các ngành trình kỳ họp lần thứ 2 HĐND huyện khóa X, HĐND huyện nhấn mạnh một số nhiệm vụ, giải pháp trọng tâm chủ yếu sau đây:</w:t>
      </w:r>
    </w:p>
    <w:p w:rsidR="00B35EB0" w:rsidRPr="00D80CA3" w:rsidRDefault="00B35EB0" w:rsidP="00B35EB0">
      <w:pPr>
        <w:spacing w:before="120" w:after="120"/>
        <w:ind w:firstLine="720"/>
        <w:jc w:val="both"/>
        <w:rPr>
          <w:color w:val="auto"/>
          <w:lang w:val="es-ES"/>
        </w:rPr>
      </w:pPr>
      <w:r w:rsidRPr="00D80CA3">
        <w:rPr>
          <w:b/>
          <w:color w:val="auto"/>
          <w:lang w:val="es-ES"/>
        </w:rPr>
        <w:t>1. Về kinh tế</w:t>
      </w:r>
    </w:p>
    <w:p w:rsidR="00B35EB0" w:rsidRPr="00D80CA3" w:rsidRDefault="00B35EB0" w:rsidP="00B35EB0">
      <w:pPr>
        <w:spacing w:before="120" w:after="120"/>
        <w:ind w:firstLine="720"/>
        <w:jc w:val="both"/>
        <w:rPr>
          <w:color w:val="auto"/>
        </w:rPr>
      </w:pPr>
      <w:r w:rsidRPr="00D80CA3">
        <w:rPr>
          <w:color w:val="auto"/>
          <w:lang w:val="es-ES"/>
        </w:rPr>
        <w:t xml:space="preserve">- Vận động nhân dân tăng cường đầu tư thâm canh tăng năng suất cây trồng vụ mùa, chuẩn bị tốt các điều kiện về đất đai, giống để sản xuất vụ đông và vụ đông xuân 2016-2017; phòng chống dịch bệnh trên cây trồng, vật nuôi; </w:t>
      </w:r>
      <w:r w:rsidRPr="00D80CA3">
        <w:rPr>
          <w:color w:val="auto"/>
        </w:rPr>
        <w:t>triển khai tốt các phương án phòng chống bão lũ, giảm nhẹ thiên tai</w:t>
      </w:r>
      <w:r w:rsidRPr="00D80CA3">
        <w:rPr>
          <w:color w:val="auto"/>
          <w:lang w:val="es-ES"/>
        </w:rPr>
        <w:t>,</w:t>
      </w:r>
      <w:r w:rsidRPr="00D80CA3">
        <w:rPr>
          <w:color w:val="auto"/>
        </w:rPr>
        <w:t xml:space="preserve"> tăng cường các biện pháp đảm bảo an toàn đối với các công trình trọng điểm, thiết yếu. </w:t>
      </w:r>
    </w:p>
    <w:p w:rsidR="00B35EB0" w:rsidRPr="00D80CA3" w:rsidRDefault="00B35EB0" w:rsidP="00B35EB0">
      <w:pPr>
        <w:spacing w:before="120" w:after="120"/>
        <w:ind w:firstLine="720"/>
        <w:jc w:val="both"/>
        <w:rPr>
          <w:color w:val="auto"/>
        </w:rPr>
      </w:pPr>
      <w:r w:rsidRPr="00D80CA3">
        <w:rPr>
          <w:color w:val="auto"/>
          <w:lang w:val="es-ES"/>
        </w:rPr>
        <w:t>-</w:t>
      </w:r>
      <w:r w:rsidRPr="00D80CA3">
        <w:rPr>
          <w:color w:val="auto"/>
        </w:rPr>
        <w:t xml:space="preserve"> </w:t>
      </w:r>
      <w:r w:rsidRPr="00D80CA3">
        <w:rPr>
          <w:color w:val="auto"/>
          <w:lang w:val="es-ES"/>
        </w:rPr>
        <w:t>Đẩy mạnh công tác thu ngân sách, trong đó tập trung truy thu các khoản thuế nợ đọng và khai thác các nguồn thuế mới phát sinh; đ</w:t>
      </w:r>
      <w:r w:rsidRPr="00D80CA3">
        <w:rPr>
          <w:color w:val="auto"/>
        </w:rPr>
        <w:t>ẩy nhanh công tác đấu giá quyền sử dụng đất thuộc các dự án đấu giá đất để đầu tư xây dựng cơ sở hạ tầng theo danh mục đã được UBND tỉnh phê duyệt.</w:t>
      </w:r>
    </w:p>
    <w:p w:rsidR="00B35EB0" w:rsidRPr="00D80CA3" w:rsidRDefault="00B35EB0" w:rsidP="00B35EB0">
      <w:pPr>
        <w:spacing w:before="120" w:after="120"/>
        <w:ind w:firstLine="720"/>
        <w:jc w:val="both"/>
        <w:rPr>
          <w:color w:val="auto"/>
          <w:lang w:val="es-ES"/>
        </w:rPr>
      </w:pPr>
      <w:r w:rsidRPr="00D80CA3">
        <w:rPr>
          <w:color w:val="auto"/>
        </w:rPr>
        <w:t xml:space="preserve">- </w:t>
      </w:r>
      <w:r w:rsidRPr="00D80CA3">
        <w:rPr>
          <w:color w:val="auto"/>
          <w:lang w:val="es-ES"/>
        </w:rPr>
        <w:t>Đẩy nhanh tiến độ thi công và tăng cường giám sát giải ngân, thanh quyết toán các ngồn vốn đầu tư trên địa bàn gắn với công tác đảm bảo và nâng cao chất lượng thi công xây dựng các công trình.</w:t>
      </w:r>
    </w:p>
    <w:p w:rsidR="00B35EB0" w:rsidRPr="00D80CA3" w:rsidRDefault="00B35EB0" w:rsidP="00B35EB0">
      <w:pPr>
        <w:spacing w:before="120" w:after="120"/>
        <w:ind w:firstLine="720"/>
        <w:jc w:val="both"/>
        <w:rPr>
          <w:color w:val="auto"/>
          <w:lang w:val="es-ES"/>
        </w:rPr>
      </w:pPr>
      <w:r w:rsidRPr="00D80CA3">
        <w:rPr>
          <w:color w:val="auto"/>
          <w:lang w:val="es-ES"/>
        </w:rPr>
        <w:t>- Triển khai đồng bộ các giải pháp về xây dựng nông thôn mới mà trọng tâm là việc lồng ghép các nguồn vốn và huy động sự đóng góp của người dân và cộng đồng trong công tác xây dựng nông thôn mới. Chú trọng triển khai xây dựng các công trình đường giao thông, thủy lợi, các công trình xây dựng dân dụng thuộc danh mục các công trình đầu tư xây dựng nông thôn mới năm 2016.</w:t>
      </w:r>
    </w:p>
    <w:p w:rsidR="00B35EB0" w:rsidRPr="00D80CA3" w:rsidRDefault="00B35EB0" w:rsidP="00B35EB0">
      <w:pPr>
        <w:spacing w:before="120" w:after="120"/>
        <w:ind w:firstLine="720"/>
        <w:jc w:val="both"/>
        <w:rPr>
          <w:color w:val="auto"/>
        </w:rPr>
      </w:pPr>
      <w:r w:rsidRPr="00D80CA3">
        <w:rPr>
          <w:color w:val="auto"/>
          <w:lang w:val="es-ES"/>
        </w:rPr>
        <w:t>- Tăng</w:t>
      </w:r>
      <w:r w:rsidRPr="00D80CA3">
        <w:rPr>
          <w:color w:val="auto"/>
        </w:rPr>
        <w:t xml:space="preserve"> cường các biện pháp bảo vệ rừng, ngăn chặn phá rừng và chống người thi hành công vụ</w:t>
      </w:r>
      <w:r w:rsidRPr="00D80CA3">
        <w:rPr>
          <w:color w:val="auto"/>
          <w:lang w:val="es-ES"/>
        </w:rPr>
        <w:t>;</w:t>
      </w:r>
      <w:r w:rsidRPr="00D80CA3">
        <w:rPr>
          <w:color w:val="auto"/>
        </w:rPr>
        <w:t xml:space="preserve"> tăng cường công tác kiểm tra và xử lý nghiêm các trường hợp xâm canh, đốt rừng làm nương rẫy, khai thác và vận chuyển lâm sản, khoáng sản trái phép trên địa bàn. </w:t>
      </w:r>
      <w:r w:rsidRPr="00D80CA3">
        <w:rPr>
          <w:color w:val="auto"/>
        </w:rPr>
        <w:tab/>
      </w:r>
    </w:p>
    <w:p w:rsidR="00B35EB0" w:rsidRPr="00D80CA3" w:rsidRDefault="00B35EB0" w:rsidP="00B35EB0">
      <w:pPr>
        <w:spacing w:before="120" w:after="120"/>
        <w:ind w:firstLine="720"/>
        <w:jc w:val="both"/>
        <w:rPr>
          <w:color w:val="auto"/>
        </w:rPr>
      </w:pPr>
      <w:r w:rsidRPr="00D80CA3">
        <w:rPr>
          <w:color w:val="auto"/>
        </w:rPr>
        <w:t>- Tăng cường công tác kiểm tra, xử lý nghiêm các trường hợp vi phạm về xây dựng.</w:t>
      </w:r>
    </w:p>
    <w:p w:rsidR="00B35EB0" w:rsidRPr="00D80CA3" w:rsidRDefault="00B35EB0" w:rsidP="00B35EB0">
      <w:pPr>
        <w:spacing w:before="120" w:after="120"/>
        <w:ind w:firstLine="720"/>
        <w:jc w:val="both"/>
        <w:rPr>
          <w:color w:val="auto"/>
        </w:rPr>
      </w:pPr>
      <w:r w:rsidRPr="00D80CA3">
        <w:rPr>
          <w:color w:val="auto"/>
        </w:rPr>
        <w:lastRenderedPageBreak/>
        <w:t xml:space="preserve">- Đa dạng các loại hình dịch vụ, phát triển và nâng cao chất lượng hoạt động thương mại vùng sâu, vùng xa, vùng đồng bào dân tộc thiểu số. Tăng cường công tác kiểm tra, kiểm soát thị trường, chống gian lận thương mại, bảo vệ quyền lợi của người tiêu dùng. </w:t>
      </w:r>
    </w:p>
    <w:p w:rsidR="00B35EB0" w:rsidRPr="00D80CA3" w:rsidRDefault="00B35EB0" w:rsidP="00B35EB0">
      <w:pPr>
        <w:spacing w:before="120" w:after="120"/>
        <w:jc w:val="both"/>
        <w:rPr>
          <w:b/>
          <w:color w:val="auto"/>
        </w:rPr>
      </w:pPr>
      <w:r w:rsidRPr="00D80CA3">
        <w:rPr>
          <w:color w:val="auto"/>
        </w:rPr>
        <w:tab/>
      </w:r>
      <w:r w:rsidRPr="00D80CA3">
        <w:rPr>
          <w:b/>
          <w:color w:val="auto"/>
        </w:rPr>
        <w:t xml:space="preserve">2. Về văn hóa </w:t>
      </w:r>
      <w:r w:rsidRPr="00D80CA3">
        <w:rPr>
          <w:color w:val="auto"/>
        </w:rPr>
        <w:t>-</w:t>
      </w:r>
      <w:r w:rsidRPr="00D80CA3">
        <w:rPr>
          <w:b/>
          <w:color w:val="auto"/>
        </w:rPr>
        <w:t xml:space="preserve"> xã hội</w:t>
      </w:r>
    </w:p>
    <w:p w:rsidR="00B35EB0" w:rsidRPr="00D80CA3" w:rsidRDefault="00B35EB0" w:rsidP="00B35EB0">
      <w:pPr>
        <w:spacing w:before="120" w:after="120"/>
        <w:ind w:firstLine="709"/>
        <w:jc w:val="both"/>
        <w:rPr>
          <w:color w:val="auto"/>
        </w:rPr>
      </w:pPr>
      <w:r w:rsidRPr="00D80CA3">
        <w:rPr>
          <w:color w:val="auto"/>
        </w:rPr>
        <w:t xml:space="preserve">- Chuẩn bị tốt các điều kiện về cơ sở vật chất, giáo viên, học sinh để khai giảng năm học 2016-2017 đúng thời gian quy định. Duy trì, củng cố kết quả phổ cập Mầm non cho trẻ 5 tuổi, củng cố kết quả phổ cập giáo dục Tiểu học đúng độ tuổi, phổ cập THCS và xây dựng trường đạt chuẩn quốc gia. </w:t>
      </w:r>
    </w:p>
    <w:p w:rsidR="00B35EB0" w:rsidRPr="00D80CA3" w:rsidRDefault="00B35EB0" w:rsidP="00B35EB0">
      <w:pPr>
        <w:spacing w:before="120" w:after="120"/>
        <w:ind w:firstLine="709"/>
        <w:jc w:val="both"/>
        <w:rPr>
          <w:color w:val="auto"/>
        </w:rPr>
      </w:pPr>
      <w:r w:rsidRPr="00D80CA3">
        <w:rPr>
          <w:color w:val="auto"/>
        </w:rPr>
        <w:t>- Triển khai đồng bộ các biện pháp về phòng chống dịch bệnh mùa mưa, đặc biệt là bệnh sốt xuất huyết, không để xảy ra dịch bệnh; nâng cao chất lượng khám và điều trị tại các cơ sở y tế; tăng cường công tác quản lý nhà nước về hoạt động kinh doanh, khám chữa bệnh tại các cơ sở y dược tư nhân; thường xuyên kiểm tra việc đảm bảo vệ sinh an toàn thực phẩm; thực hiện tốt các chương trình mục tiêu quốc gia về y tế năm 2016 trên địa bàn.</w:t>
      </w:r>
    </w:p>
    <w:p w:rsidR="00B35EB0" w:rsidRPr="00D80CA3" w:rsidRDefault="00B35EB0" w:rsidP="00B35EB0">
      <w:pPr>
        <w:spacing w:before="120" w:after="120"/>
        <w:ind w:firstLine="720"/>
        <w:jc w:val="both"/>
        <w:rPr>
          <w:color w:val="auto"/>
        </w:rPr>
      </w:pPr>
      <w:r w:rsidRPr="00D80CA3">
        <w:rPr>
          <w:color w:val="auto"/>
        </w:rPr>
        <w:t>- Tổ chức tốt công tác phổ biến, tuyên truyền các chủ trương của Đảng, Chính sách pháp luật của nhà nước trên hệ thống truyền thanh, truyền hình của huyện; tăng cường kiểm tra hoạt động của các cơ sở kinh doanh dịch vụ văn hoá trên địa bàn.</w:t>
      </w:r>
    </w:p>
    <w:p w:rsidR="00B35EB0" w:rsidRPr="00D80CA3" w:rsidRDefault="00B35EB0" w:rsidP="00B35EB0">
      <w:pPr>
        <w:spacing w:before="120" w:after="120"/>
        <w:ind w:firstLine="720"/>
        <w:jc w:val="both"/>
        <w:rPr>
          <w:color w:val="auto"/>
        </w:rPr>
      </w:pPr>
      <w:r w:rsidRPr="00D80CA3">
        <w:rPr>
          <w:color w:val="auto"/>
        </w:rPr>
        <w:t xml:space="preserve">- Tổ chức thực hiện đầy đủ, kịp thời các chính sách an sinh xã hội nhất là các chính sách ưu đãi người có công, người nghèo, người đồng bào dân tộc thiểu số. </w:t>
      </w:r>
    </w:p>
    <w:p w:rsidR="00B35EB0" w:rsidRPr="00D80CA3" w:rsidRDefault="00B35EB0" w:rsidP="00B35EB0">
      <w:pPr>
        <w:spacing w:before="120" w:after="120"/>
        <w:ind w:firstLine="720"/>
        <w:jc w:val="both"/>
        <w:rPr>
          <w:color w:val="auto"/>
        </w:rPr>
      </w:pPr>
      <w:r w:rsidRPr="00D80CA3">
        <w:rPr>
          <w:color w:val="auto"/>
        </w:rPr>
        <w:t>- Triển khai và đẩy nhanh tiến độ thực hiện các chương trình mục tiêu quốc gia, chương trình đào tạo tạo nghề cho lao động nông thôn, giải quyết việc làm và công tác giảm nghèo năm 2016.</w:t>
      </w:r>
    </w:p>
    <w:p w:rsidR="00B35EB0" w:rsidRPr="00D80CA3" w:rsidRDefault="00B35EB0" w:rsidP="00B35EB0">
      <w:pPr>
        <w:spacing w:before="120" w:after="120"/>
        <w:ind w:firstLine="720"/>
        <w:jc w:val="both"/>
        <w:rPr>
          <w:b/>
          <w:color w:val="auto"/>
        </w:rPr>
      </w:pPr>
      <w:r w:rsidRPr="00D80CA3">
        <w:rPr>
          <w:b/>
          <w:color w:val="auto"/>
        </w:rPr>
        <w:t>3. Về quốc phòng - an ninh</w:t>
      </w:r>
    </w:p>
    <w:p w:rsidR="00B35EB0" w:rsidRPr="00D80CA3" w:rsidRDefault="00B35EB0" w:rsidP="00B35EB0">
      <w:pPr>
        <w:spacing w:before="120" w:after="120"/>
        <w:ind w:firstLine="720"/>
        <w:jc w:val="both"/>
        <w:rPr>
          <w:color w:val="auto"/>
          <w:lang w:val="es-ES"/>
        </w:rPr>
      </w:pPr>
      <w:r w:rsidRPr="00D80CA3">
        <w:rPr>
          <w:color w:val="auto"/>
        </w:rPr>
        <w:t xml:space="preserve">- </w:t>
      </w:r>
      <w:r w:rsidRPr="00D80CA3">
        <w:rPr>
          <w:color w:val="auto"/>
          <w:lang w:val="es-ES"/>
        </w:rPr>
        <w:t>Thực hiện tốt chế độ trực chỉ huy, trực sẵn sàng chiến đấu, trực phòng không nhân dân và trực A2; tăng cường lực lượng bám địa bàn, nắm tình hình và xử lý kịp thời các vấn đề phát sinh ngay tại cơ sở; tổ chức tốt công tác tuần tra bảo vệ biên giới, ngăn chặn vượt biên. Quản lý tốt thanh niên trong độ tuổi nhập ngũ; chuẩn bị tốt công tác khám tuyển và gọi công dân nhập ngũ năm 2017.</w:t>
      </w:r>
    </w:p>
    <w:p w:rsidR="00B35EB0" w:rsidRPr="00D80CA3" w:rsidRDefault="00B35EB0" w:rsidP="00B35EB0">
      <w:pPr>
        <w:widowControl w:val="0"/>
        <w:spacing w:before="120" w:after="120"/>
        <w:ind w:firstLine="720"/>
        <w:jc w:val="both"/>
        <w:rPr>
          <w:b/>
          <w:color w:val="auto"/>
          <w:lang w:val="es-ES"/>
        </w:rPr>
      </w:pPr>
      <w:r w:rsidRPr="00D80CA3">
        <w:rPr>
          <w:color w:val="auto"/>
          <w:lang w:val="es-ES"/>
        </w:rPr>
        <w:t>- Tăng cường công tác phòng, chống tội phạm; phòng, chống tham nhũng, lãng phí; tiếp tục tổ chức, triển khai công tác tuần tra, kiểm tra, xử lý và ngăn chặn các hoạt động gây mất trật tự xã hội, vi phạm quy định về an toàn giao thông, đảm bảo an ninh chính trị, trật tự xã hội trên địa bàn. Đảm bảo công tác an ninh biên giới.</w:t>
      </w:r>
    </w:p>
    <w:p w:rsidR="00B35EB0" w:rsidRPr="00D80CA3" w:rsidRDefault="00B35EB0" w:rsidP="00B35EB0">
      <w:pPr>
        <w:widowControl w:val="0"/>
        <w:spacing w:before="120" w:after="120"/>
        <w:ind w:firstLine="720"/>
        <w:jc w:val="both"/>
        <w:rPr>
          <w:iCs/>
          <w:color w:val="auto"/>
          <w:spacing w:val="2"/>
          <w:lang w:val="es-ES"/>
        </w:rPr>
      </w:pPr>
      <w:r w:rsidRPr="00D80CA3">
        <w:rPr>
          <w:iCs/>
          <w:color w:val="auto"/>
          <w:spacing w:val="2"/>
          <w:lang w:val="es-ES"/>
        </w:rPr>
        <w:t xml:space="preserve">- Thực hiện tốt công tác tiếp dân và giải quyết đơn thư khiếu nại, tố cáo của công dân. Giải quyết dứt điểm các đơn thư tồn đọng, kéo dài. Tập trung xử lý những vấn đề bức xúc, dư luận có nhiều ý kiến như đất đai, xây dựng, hỗ trợ, bồi thường… </w:t>
      </w:r>
    </w:p>
    <w:p w:rsidR="00B35EB0" w:rsidRPr="00D80CA3" w:rsidRDefault="00B35EB0" w:rsidP="00B35EB0">
      <w:pPr>
        <w:widowControl w:val="0"/>
        <w:spacing w:before="120" w:after="120"/>
        <w:ind w:firstLine="720"/>
        <w:jc w:val="both"/>
        <w:rPr>
          <w:color w:val="auto"/>
          <w:lang w:val="es-ES"/>
        </w:rPr>
      </w:pPr>
      <w:r w:rsidRPr="00D80CA3">
        <w:rPr>
          <w:color w:val="auto"/>
          <w:spacing w:val="2"/>
          <w:lang w:val="es-ES"/>
        </w:rPr>
        <w:t xml:space="preserve">- </w:t>
      </w:r>
      <w:r w:rsidRPr="00D80CA3">
        <w:rPr>
          <w:color w:val="auto"/>
        </w:rPr>
        <w:t xml:space="preserve">Thực hiện tốt công tác cải cách hành chính mà trọng tâm là cải cách thủ tục </w:t>
      </w:r>
      <w:r w:rsidRPr="00D80CA3">
        <w:rPr>
          <w:color w:val="auto"/>
        </w:rPr>
        <w:lastRenderedPageBreak/>
        <w:t>hành chính, giảm bớt các thủ tục hành chính không cần thiết, các qui định không còn phù hợp. Thực hiện tốt việc tiếp nhận và trả kết quả theo cơ chế một cửa và một cửa liên thông. Rút ngắn thời gian giải quyết hồ sơ cho tổ chức và cá nhân. Thực hiện tốt</w:t>
      </w:r>
      <w:r w:rsidRPr="00D80CA3">
        <w:rPr>
          <w:color w:val="auto"/>
          <w:lang w:val="es-ES"/>
        </w:rPr>
        <w:t xml:space="preserve"> quy chế văn hóa công sở.</w:t>
      </w:r>
    </w:p>
    <w:p w:rsidR="00B35EB0" w:rsidRPr="00D80CA3" w:rsidRDefault="00B35EB0" w:rsidP="00B35EB0">
      <w:pPr>
        <w:spacing w:before="120" w:after="120"/>
        <w:ind w:firstLine="709"/>
        <w:jc w:val="both"/>
        <w:rPr>
          <w:color w:val="auto"/>
        </w:rPr>
      </w:pPr>
      <w:r w:rsidRPr="00D80CA3">
        <w:rPr>
          <w:b/>
          <w:color w:val="auto"/>
        </w:rPr>
        <w:t>Điều 3.</w:t>
      </w:r>
      <w:r w:rsidRPr="00D80CA3">
        <w:rPr>
          <w:color w:val="auto"/>
        </w:rPr>
        <w:t xml:space="preserve"> </w:t>
      </w:r>
      <w:r w:rsidRPr="00D80CA3">
        <w:rPr>
          <w:color w:val="auto"/>
          <w:lang w:val="nl-NL"/>
        </w:rPr>
        <w:t>Hội đồng nhân huyện giao UBND huyện tổ chức triển khai thực hiện Nghị quyết. Giao Thường trực HĐND, các Ban của HĐND huyện, các Tổ đại biểu HĐND huyện phổ biến, quán triệt sâu rộng đến đại biểu HĐND, cử tri các xã, thị trấn, cán bộ, công chức các cơ quan, đơn vị và giám sát, kiểm tra việc thực hiện Nghị quyết này.</w:t>
      </w:r>
    </w:p>
    <w:p w:rsidR="00B35EB0" w:rsidRPr="00D80CA3" w:rsidRDefault="00B35EB0" w:rsidP="00B35EB0">
      <w:pPr>
        <w:spacing w:before="120" w:after="120"/>
        <w:ind w:firstLine="720"/>
        <w:jc w:val="both"/>
        <w:rPr>
          <w:color w:val="auto"/>
        </w:rPr>
      </w:pPr>
      <w:r w:rsidRPr="00D80CA3">
        <w:rPr>
          <w:color w:val="auto"/>
        </w:rPr>
        <w:t>Nghị quyết này đã được Hội đồng nhân dân huyện khoá X, kỳ họp thứ 2 thông qua ngày 19/8/2016 và có hiệu lực thi hành từ ngày 26/8/2016./.</w:t>
      </w:r>
    </w:p>
    <w:p w:rsidR="00B35EB0" w:rsidRPr="00D80CA3" w:rsidRDefault="00B35EB0" w:rsidP="00B35EB0">
      <w:pPr>
        <w:spacing w:before="120" w:after="120"/>
        <w:ind w:firstLine="720"/>
        <w:rPr>
          <w:color w:val="auto"/>
        </w:rPr>
      </w:pPr>
    </w:p>
    <w:tbl>
      <w:tblPr>
        <w:tblW w:w="0" w:type="auto"/>
        <w:tblInd w:w="108" w:type="dxa"/>
        <w:tblLook w:val="01E0"/>
      </w:tblPr>
      <w:tblGrid>
        <w:gridCol w:w="4733"/>
        <w:gridCol w:w="4730"/>
      </w:tblGrid>
      <w:tr w:rsidR="00B35EB0" w:rsidRPr="00D80CA3" w:rsidTr="00787582">
        <w:trPr>
          <w:trHeight w:val="330"/>
        </w:trPr>
        <w:tc>
          <w:tcPr>
            <w:tcW w:w="4788" w:type="dxa"/>
          </w:tcPr>
          <w:p w:rsidR="00B35EB0" w:rsidRPr="00D80CA3" w:rsidRDefault="00B35EB0" w:rsidP="00787582">
            <w:pPr>
              <w:pStyle w:val="Heading3"/>
              <w:spacing w:before="0"/>
              <w:rPr>
                <w:rFonts w:ascii="Times New Roman" w:hAnsi="Times New Roman"/>
                <w:color w:val="auto"/>
                <w:lang w:val="nl-NL"/>
              </w:rPr>
            </w:pPr>
          </w:p>
        </w:tc>
        <w:tc>
          <w:tcPr>
            <w:tcW w:w="4788" w:type="dxa"/>
          </w:tcPr>
          <w:p w:rsidR="00B35EB0" w:rsidRPr="00D80CA3" w:rsidRDefault="00B35EB0" w:rsidP="00787582">
            <w:pPr>
              <w:pStyle w:val="Heading3"/>
              <w:spacing w:before="0"/>
              <w:jc w:val="center"/>
              <w:rPr>
                <w:rFonts w:ascii="Times New Roman" w:hAnsi="Times New Roman"/>
                <w:color w:val="auto"/>
                <w:szCs w:val="28"/>
              </w:rPr>
            </w:pPr>
            <w:r w:rsidRPr="00D80CA3">
              <w:rPr>
                <w:rFonts w:ascii="Times New Roman" w:hAnsi="Times New Roman"/>
                <w:bCs w:val="0"/>
                <w:color w:val="auto"/>
                <w:szCs w:val="28"/>
                <w:lang w:val="nl-NL"/>
              </w:rPr>
              <w:t>CHỦ TỊCH</w:t>
            </w:r>
          </w:p>
        </w:tc>
      </w:tr>
      <w:tr w:rsidR="00B35EB0" w:rsidRPr="00D80CA3" w:rsidTr="00787582">
        <w:trPr>
          <w:trHeight w:val="2342"/>
        </w:trPr>
        <w:tc>
          <w:tcPr>
            <w:tcW w:w="4788" w:type="dxa"/>
          </w:tcPr>
          <w:p w:rsidR="00B35EB0" w:rsidRPr="00D80CA3" w:rsidRDefault="00B35EB0" w:rsidP="00787582">
            <w:pPr>
              <w:pStyle w:val="Heading3"/>
              <w:spacing w:before="0"/>
              <w:rPr>
                <w:rFonts w:ascii="Times New Roman" w:hAnsi="Times New Roman"/>
                <w:bCs w:val="0"/>
                <w:i/>
                <w:iCs/>
                <w:color w:val="auto"/>
                <w:sz w:val="24"/>
                <w:lang w:val="nl-NL"/>
              </w:rPr>
            </w:pPr>
            <w:r w:rsidRPr="00D80CA3">
              <w:rPr>
                <w:rFonts w:ascii="Times New Roman" w:hAnsi="Times New Roman"/>
                <w:bCs w:val="0"/>
                <w:i/>
                <w:iCs/>
                <w:color w:val="auto"/>
                <w:sz w:val="24"/>
                <w:lang w:val="nl-NL"/>
              </w:rPr>
              <w:t>Nơi nhận:</w:t>
            </w:r>
          </w:p>
          <w:p w:rsidR="00B35EB0" w:rsidRPr="00D80CA3" w:rsidRDefault="00B35EB0" w:rsidP="00787582">
            <w:pPr>
              <w:pStyle w:val="BodyText"/>
              <w:jc w:val="left"/>
              <w:rPr>
                <w:rFonts w:ascii="Times New Roman" w:hAnsi="Times New Roman"/>
                <w:b w:val="0"/>
                <w:sz w:val="22"/>
                <w:lang w:val="nl-NL"/>
              </w:rPr>
            </w:pPr>
            <w:r w:rsidRPr="00D80CA3">
              <w:rPr>
                <w:rFonts w:ascii="Times New Roman" w:hAnsi="Times New Roman"/>
                <w:b w:val="0"/>
                <w:sz w:val="22"/>
                <w:lang w:val="nl-NL"/>
              </w:rPr>
              <w:t xml:space="preserve">- Thường trực HĐND, UBND tỉnh;    </w:t>
            </w:r>
          </w:p>
          <w:p w:rsidR="00B35EB0" w:rsidRPr="00D80CA3" w:rsidRDefault="00B35EB0" w:rsidP="00787582">
            <w:pPr>
              <w:rPr>
                <w:color w:val="auto"/>
                <w:lang w:val="nl-NL"/>
              </w:rPr>
            </w:pPr>
            <w:r w:rsidRPr="00D80CA3">
              <w:rPr>
                <w:color w:val="auto"/>
                <w:sz w:val="22"/>
                <w:lang w:val="nl-NL"/>
              </w:rPr>
              <w:t>- Sở Tư pháp;</w:t>
            </w:r>
            <w:r w:rsidRPr="00D80CA3">
              <w:rPr>
                <w:color w:val="auto"/>
                <w:sz w:val="22"/>
                <w:lang w:val="nl-NL"/>
              </w:rPr>
              <w:tab/>
            </w:r>
            <w:r w:rsidRPr="00D80CA3">
              <w:rPr>
                <w:color w:val="auto"/>
                <w:sz w:val="22"/>
                <w:lang w:val="nl-NL"/>
              </w:rPr>
              <w:tab/>
              <w:t xml:space="preserve">          </w:t>
            </w:r>
            <w:r w:rsidRPr="00D80CA3">
              <w:rPr>
                <w:color w:val="auto"/>
                <w:sz w:val="22"/>
                <w:lang w:val="nl-NL"/>
              </w:rPr>
              <w:tab/>
            </w:r>
            <w:r w:rsidRPr="00D80CA3">
              <w:rPr>
                <w:color w:val="auto"/>
                <w:sz w:val="22"/>
                <w:lang w:val="nl-NL"/>
              </w:rPr>
              <w:tab/>
              <w:t xml:space="preserve">     </w:t>
            </w:r>
          </w:p>
          <w:p w:rsidR="00B35EB0" w:rsidRPr="00D80CA3" w:rsidRDefault="00B35EB0" w:rsidP="00787582">
            <w:pPr>
              <w:rPr>
                <w:color w:val="auto"/>
                <w:sz w:val="22"/>
                <w:szCs w:val="20"/>
                <w:lang w:val="nl-NL"/>
              </w:rPr>
            </w:pPr>
            <w:r w:rsidRPr="00D80CA3">
              <w:rPr>
                <w:color w:val="auto"/>
                <w:sz w:val="22"/>
                <w:lang w:val="nl-NL"/>
              </w:rPr>
              <w:t>- Thường trực Huyện ủy;</w:t>
            </w:r>
            <w:r w:rsidRPr="00D80CA3">
              <w:rPr>
                <w:color w:val="auto"/>
                <w:sz w:val="22"/>
                <w:szCs w:val="20"/>
                <w:lang w:val="nl-NL"/>
              </w:rPr>
              <w:t xml:space="preserve"> </w:t>
            </w:r>
            <w:r w:rsidRPr="00D80CA3">
              <w:rPr>
                <w:color w:val="auto"/>
                <w:sz w:val="22"/>
                <w:lang w:val="nl-NL"/>
              </w:rPr>
              <w:t>HĐND, UBND huyện;</w:t>
            </w:r>
          </w:p>
          <w:p w:rsidR="00B35EB0" w:rsidRPr="00D80CA3" w:rsidRDefault="00B35EB0" w:rsidP="00787582">
            <w:pPr>
              <w:rPr>
                <w:color w:val="auto"/>
                <w:sz w:val="22"/>
                <w:szCs w:val="20"/>
                <w:lang w:val="nl-NL"/>
              </w:rPr>
            </w:pPr>
            <w:r w:rsidRPr="00D80CA3">
              <w:rPr>
                <w:color w:val="auto"/>
                <w:sz w:val="22"/>
                <w:lang w:val="nl-NL"/>
              </w:rPr>
              <w:t>- Ban Thường trực UBMTTQ VN huyện;</w:t>
            </w:r>
          </w:p>
          <w:p w:rsidR="00B35EB0" w:rsidRPr="00D80CA3" w:rsidRDefault="00B35EB0" w:rsidP="00787582">
            <w:pPr>
              <w:rPr>
                <w:color w:val="auto"/>
                <w:sz w:val="22"/>
                <w:szCs w:val="20"/>
                <w:lang w:val="nl-NL"/>
              </w:rPr>
            </w:pPr>
            <w:r w:rsidRPr="00D80CA3">
              <w:rPr>
                <w:color w:val="auto"/>
                <w:sz w:val="22"/>
                <w:lang w:val="nl-NL"/>
              </w:rPr>
              <w:t>- Đại biểu HĐND huyện;</w:t>
            </w:r>
            <w:r w:rsidRPr="00D80CA3">
              <w:rPr>
                <w:color w:val="auto"/>
                <w:sz w:val="22"/>
                <w:lang w:val="nl-NL"/>
              </w:rPr>
              <w:tab/>
            </w:r>
          </w:p>
          <w:p w:rsidR="00B35EB0" w:rsidRPr="00D80CA3" w:rsidRDefault="00B35EB0" w:rsidP="00787582">
            <w:pPr>
              <w:rPr>
                <w:color w:val="auto"/>
                <w:sz w:val="22"/>
                <w:szCs w:val="20"/>
                <w:lang w:val="nl-NL"/>
              </w:rPr>
            </w:pPr>
            <w:r w:rsidRPr="00D80CA3">
              <w:rPr>
                <w:color w:val="auto"/>
                <w:sz w:val="22"/>
                <w:lang w:val="nl-NL"/>
              </w:rPr>
              <w:t>- Thường trực HĐND, UBND các xã, thị trấn;</w:t>
            </w:r>
          </w:p>
          <w:p w:rsidR="00B35EB0" w:rsidRPr="00D80CA3" w:rsidRDefault="00B35EB0" w:rsidP="00787582">
            <w:pPr>
              <w:rPr>
                <w:color w:val="auto"/>
                <w:sz w:val="22"/>
                <w:szCs w:val="20"/>
                <w:lang w:val="nl-NL"/>
              </w:rPr>
            </w:pPr>
            <w:r w:rsidRPr="00D80CA3">
              <w:rPr>
                <w:color w:val="auto"/>
                <w:sz w:val="22"/>
                <w:lang w:val="nl-NL"/>
              </w:rPr>
              <w:t>- Các cơ quan, ban ngành, đoàn thể huyện;</w:t>
            </w:r>
          </w:p>
          <w:p w:rsidR="00B35EB0" w:rsidRPr="00D80CA3" w:rsidRDefault="00B35EB0" w:rsidP="00787582">
            <w:pPr>
              <w:pStyle w:val="BodyText"/>
              <w:jc w:val="left"/>
              <w:rPr>
                <w:rFonts w:ascii="Times New Roman" w:hAnsi="Times New Roman"/>
                <w:b w:val="0"/>
                <w:sz w:val="22"/>
                <w:szCs w:val="22"/>
                <w:vertAlign w:val="subscript"/>
              </w:rPr>
            </w:pPr>
            <w:r w:rsidRPr="00D80CA3">
              <w:rPr>
                <w:rFonts w:ascii="Times New Roman" w:hAnsi="Times New Roman"/>
                <w:b w:val="0"/>
                <w:sz w:val="22"/>
                <w:szCs w:val="22"/>
              </w:rPr>
              <w:t>- Lưu: VT-LT.</w:t>
            </w:r>
            <w:r w:rsidRPr="00D80CA3">
              <w:rPr>
                <w:rFonts w:ascii="Times New Roman" w:hAnsi="Times New Roman"/>
                <w:b w:val="0"/>
                <w:sz w:val="22"/>
                <w:szCs w:val="22"/>
                <w:vertAlign w:val="subscript"/>
              </w:rPr>
              <w:t>(D)</w:t>
            </w:r>
          </w:p>
        </w:tc>
        <w:tc>
          <w:tcPr>
            <w:tcW w:w="4788" w:type="dxa"/>
          </w:tcPr>
          <w:p w:rsidR="00B35EB0" w:rsidRPr="00D80CA3" w:rsidRDefault="00B35EB0" w:rsidP="00787582">
            <w:pPr>
              <w:jc w:val="center"/>
              <w:rPr>
                <w:b/>
                <w:color w:val="auto"/>
                <w:lang w:val="nl-NL"/>
              </w:rPr>
            </w:pPr>
            <w:r w:rsidRPr="00D80CA3">
              <w:rPr>
                <w:b/>
                <w:color w:val="auto"/>
                <w:lang w:val="nl-NL"/>
              </w:rPr>
              <w:t>(Đã ký)</w:t>
            </w:r>
          </w:p>
          <w:p w:rsidR="00B35EB0" w:rsidRPr="00D80CA3" w:rsidRDefault="00B35EB0" w:rsidP="00787582">
            <w:pPr>
              <w:jc w:val="center"/>
              <w:rPr>
                <w:b/>
                <w:color w:val="auto"/>
                <w:lang w:val="nl-NL"/>
              </w:rPr>
            </w:pPr>
          </w:p>
          <w:p w:rsidR="00B35EB0" w:rsidRPr="00D80CA3" w:rsidRDefault="00B35EB0" w:rsidP="00787582">
            <w:pPr>
              <w:jc w:val="center"/>
              <w:rPr>
                <w:color w:val="auto"/>
                <w:lang w:val="nl-NL"/>
              </w:rPr>
            </w:pPr>
            <w:r w:rsidRPr="00D80CA3">
              <w:rPr>
                <w:b/>
                <w:color w:val="auto"/>
                <w:lang w:val="nl-NL"/>
              </w:rPr>
              <w:t>Đoàn Văn Minh</w:t>
            </w:r>
          </w:p>
        </w:tc>
      </w:tr>
    </w:tbl>
    <w:p w:rsidR="00B35EB0" w:rsidRPr="00D80CA3" w:rsidRDefault="00B35EB0" w:rsidP="00B35EB0">
      <w:pPr>
        <w:widowControl w:val="0"/>
        <w:spacing w:before="120" w:after="120"/>
        <w:ind w:firstLine="720"/>
        <w:rPr>
          <w:bCs/>
          <w:iCs/>
          <w:color w:val="auto"/>
          <w:spacing w:val="2"/>
          <w:lang w:val="es-ES"/>
        </w:rPr>
      </w:pPr>
    </w:p>
    <w:p w:rsidR="00B35EB0" w:rsidRPr="00D80CA3" w:rsidRDefault="00B35EB0" w:rsidP="00B35EB0">
      <w:pPr>
        <w:spacing w:before="120" w:after="120"/>
        <w:ind w:firstLine="709"/>
        <w:rPr>
          <w:color w:val="auto"/>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B35EB0"/>
    <w:rsid w:val="0086205A"/>
    <w:rsid w:val="00B35EB0"/>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B0"/>
    <w:pPr>
      <w:jc w:val="left"/>
    </w:pPr>
    <w:rPr>
      <w:rFonts w:ascii="Times New Roman" w:eastAsia="Times New Roman" w:hAnsi="Times New Roman" w:cs="Times New Roman"/>
      <w:color w:val="0000FF"/>
      <w:sz w:val="28"/>
      <w:szCs w:val="24"/>
    </w:rPr>
  </w:style>
  <w:style w:type="paragraph" w:styleId="Heading3">
    <w:name w:val="heading 3"/>
    <w:basedOn w:val="Normal"/>
    <w:next w:val="Normal"/>
    <w:link w:val="Heading3Char"/>
    <w:uiPriority w:val="9"/>
    <w:unhideWhenUsed/>
    <w:qFormat/>
    <w:rsid w:val="00B35E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5EB0"/>
    <w:rPr>
      <w:rFonts w:asciiTheme="majorHAnsi" w:eastAsiaTheme="majorEastAsia" w:hAnsiTheme="majorHAnsi" w:cstheme="majorBidi"/>
      <w:b/>
      <w:bCs/>
      <w:color w:val="4F81BD" w:themeColor="accent1"/>
      <w:sz w:val="28"/>
      <w:szCs w:val="24"/>
    </w:rPr>
  </w:style>
  <w:style w:type="paragraph" w:styleId="BodyText">
    <w:name w:val="Body Text"/>
    <w:basedOn w:val="Normal"/>
    <w:link w:val="BodyTextChar"/>
    <w:rsid w:val="00B35EB0"/>
    <w:pPr>
      <w:jc w:val="center"/>
    </w:pPr>
    <w:rPr>
      <w:rFonts w:ascii=".VnTimeH" w:hAnsi=".VnTimeH"/>
      <w:b/>
      <w:bCs/>
      <w:color w:val="auto"/>
      <w:szCs w:val="20"/>
    </w:rPr>
  </w:style>
  <w:style w:type="character" w:customStyle="1" w:styleId="BodyTextChar">
    <w:name w:val="Body Text Char"/>
    <w:basedOn w:val="DefaultParagraphFont"/>
    <w:link w:val="BodyText"/>
    <w:rsid w:val="00B35EB0"/>
    <w:rPr>
      <w:rFonts w:ascii=".VnTimeH" w:eastAsia="Times New Roman" w:hAnsi=".VnTimeH" w:cs="Times New Roman"/>
      <w:b/>
      <w:bCs/>
      <w:sz w:val="28"/>
      <w:szCs w:val="20"/>
    </w:rPr>
  </w:style>
  <w:style w:type="paragraph" w:customStyle="1" w:styleId="Tren-giua">
    <w:name w:val="Tren-giua"/>
    <w:basedOn w:val="Normal"/>
    <w:rsid w:val="00B35EB0"/>
    <w:pPr>
      <w:spacing w:before="60"/>
      <w:jc w:val="center"/>
    </w:pPr>
    <w:rPr>
      <w:color w:val="000080"/>
      <w:szCs w:val="28"/>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2018-05-10T07:35:00Z</dcterms:created>
  <dcterms:modified xsi:type="dcterms:W3CDTF">2018-05-10T07:35:00Z</dcterms:modified>
</cp:coreProperties>
</file>