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7"/>
        <w:gridCol w:w="6286"/>
      </w:tblGrid>
      <w:tr w:rsidR="005B7458" w:rsidRPr="005B7458" w:rsidTr="005B7458">
        <w:trPr>
          <w:trHeight w:val="905"/>
        </w:trPr>
        <w:tc>
          <w:tcPr>
            <w:tcW w:w="3197" w:type="dxa"/>
          </w:tcPr>
          <w:p w:rsidR="005B7458" w:rsidRPr="005B7458" w:rsidRDefault="005B7458" w:rsidP="005B7458">
            <w:pPr>
              <w:jc w:val="center"/>
              <w:rPr>
                <w:b/>
                <w:sz w:val="26"/>
                <w:szCs w:val="26"/>
                <w:lang w:val="nl-NL"/>
              </w:rPr>
            </w:pPr>
            <w:r w:rsidRPr="005B7458">
              <w:rPr>
                <w:b/>
                <w:sz w:val="26"/>
                <w:szCs w:val="26"/>
                <w:lang w:val="nl-NL"/>
              </w:rPr>
              <w:t>UỶ BAN NHÂN DÂN</w:t>
            </w:r>
          </w:p>
          <w:p w:rsidR="005B7458" w:rsidRPr="005B7458" w:rsidRDefault="005B7458" w:rsidP="005B7458">
            <w:pPr>
              <w:jc w:val="center"/>
              <w:rPr>
                <w:b/>
                <w:sz w:val="26"/>
                <w:szCs w:val="26"/>
                <w:lang w:val="nl-NL"/>
              </w:rPr>
            </w:pPr>
            <w:r w:rsidRPr="005B7458">
              <w:rPr>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5.8pt;margin-top:18pt;width:34.45pt;height:0;z-index:251661312" o:connectortype="straight"/>
              </w:pict>
            </w:r>
            <w:r w:rsidRPr="005B7458">
              <w:rPr>
                <w:b/>
                <w:bCs/>
                <w:sz w:val="26"/>
                <w:szCs w:val="26"/>
                <w:lang w:val="nl-NL"/>
              </w:rPr>
              <w:t>HUYỆN SA THẦY</w:t>
            </w:r>
          </w:p>
        </w:tc>
        <w:tc>
          <w:tcPr>
            <w:tcW w:w="6286" w:type="dxa"/>
          </w:tcPr>
          <w:p w:rsidR="005B7458" w:rsidRPr="005B7458" w:rsidRDefault="005B7458" w:rsidP="005B7458">
            <w:pPr>
              <w:jc w:val="center"/>
              <w:rPr>
                <w:b/>
                <w:sz w:val="26"/>
                <w:szCs w:val="26"/>
                <w:lang w:val="nl-NL"/>
              </w:rPr>
            </w:pPr>
            <w:r w:rsidRPr="005B7458">
              <w:rPr>
                <w:b/>
                <w:sz w:val="26"/>
                <w:szCs w:val="26"/>
                <w:lang w:val="nl-NL"/>
              </w:rPr>
              <w:t>CỘNG HOÀ XÃ HỘI CHỦ NGHĨA VIỆT NAM</w:t>
            </w:r>
          </w:p>
          <w:p w:rsidR="005B7458" w:rsidRPr="005B7458" w:rsidRDefault="005B7458" w:rsidP="005B7458">
            <w:pPr>
              <w:jc w:val="center"/>
              <w:rPr>
                <w:b/>
                <w:sz w:val="26"/>
                <w:szCs w:val="26"/>
                <w:lang w:val="nl-NL"/>
              </w:rPr>
            </w:pPr>
            <w:r w:rsidRPr="005B7458">
              <w:rPr>
                <w:b/>
                <w:bCs/>
                <w:noProof/>
              </w:rPr>
              <w:pict>
                <v:shape id="_x0000_s1028" type="#_x0000_t32" style="position:absolute;left:0;text-align:left;margin-left:68.5pt;margin-top:18pt;width:163.45pt;height:0;z-index:251662336" o:connectortype="straight"/>
              </w:pict>
            </w:r>
            <w:r w:rsidRPr="005B7458">
              <w:rPr>
                <w:b/>
                <w:bCs/>
                <w:lang w:val="nl-NL"/>
              </w:rPr>
              <w:t>Độc lập - Tự do - Hạnh phúc</w:t>
            </w:r>
          </w:p>
        </w:tc>
      </w:tr>
      <w:tr w:rsidR="005B7458" w:rsidRPr="005B7458" w:rsidTr="002C1FE9">
        <w:trPr>
          <w:trHeight w:val="366"/>
        </w:trPr>
        <w:tc>
          <w:tcPr>
            <w:tcW w:w="3197" w:type="dxa"/>
          </w:tcPr>
          <w:p w:rsidR="005B7458" w:rsidRPr="005B7458" w:rsidRDefault="005B7458" w:rsidP="005B7458">
            <w:pPr>
              <w:jc w:val="center"/>
              <w:rPr>
                <w:b/>
                <w:sz w:val="26"/>
                <w:szCs w:val="26"/>
                <w:lang w:val="nl-NL"/>
              </w:rPr>
            </w:pPr>
            <w:r w:rsidRPr="005B7458">
              <w:rPr>
                <w:bCs/>
                <w:lang w:val="nl-NL"/>
              </w:rPr>
              <w:t>Số: 548/BC-UBND</w:t>
            </w:r>
          </w:p>
        </w:tc>
        <w:tc>
          <w:tcPr>
            <w:tcW w:w="6286" w:type="dxa"/>
          </w:tcPr>
          <w:p w:rsidR="005B7458" w:rsidRPr="005B7458" w:rsidRDefault="005B7458" w:rsidP="005B7458">
            <w:pPr>
              <w:jc w:val="center"/>
              <w:rPr>
                <w:b/>
                <w:sz w:val="26"/>
                <w:szCs w:val="26"/>
                <w:lang w:val="nl-NL"/>
              </w:rPr>
            </w:pPr>
            <w:r w:rsidRPr="005B7458">
              <w:rPr>
                <w:i/>
                <w:iCs/>
                <w:lang w:val="nl-NL"/>
              </w:rPr>
              <w:t>Sa Thầy</w:t>
            </w:r>
            <w:r w:rsidRPr="005B7458">
              <w:rPr>
                <w:b/>
                <w:bCs/>
                <w:i/>
                <w:lang w:val="nl-NL"/>
              </w:rPr>
              <w:t xml:space="preserve">, </w:t>
            </w:r>
            <w:r w:rsidRPr="005B7458">
              <w:rPr>
                <w:i/>
                <w:lang w:val="nl-NL"/>
              </w:rPr>
              <w:t>ngày 29 tháng 11 năm 2018</w:t>
            </w:r>
          </w:p>
        </w:tc>
      </w:tr>
    </w:tbl>
    <w:p w:rsidR="005B7458" w:rsidRPr="005B7458" w:rsidRDefault="005B7458" w:rsidP="005B7458">
      <w:pPr>
        <w:rPr>
          <w:b/>
          <w:sz w:val="26"/>
          <w:szCs w:val="26"/>
          <w:lang w:val="nl-NL"/>
        </w:rPr>
      </w:pPr>
      <w:r w:rsidRPr="005B7458">
        <w:rPr>
          <w:b/>
          <w:sz w:val="26"/>
          <w:szCs w:val="26"/>
          <w:lang w:val="nl-NL"/>
        </w:rPr>
        <w:t xml:space="preserve">                      </w:t>
      </w:r>
    </w:p>
    <w:p w:rsidR="005B7458" w:rsidRPr="005B7458" w:rsidRDefault="005B7458" w:rsidP="005B7458">
      <w:pPr>
        <w:tabs>
          <w:tab w:val="center" w:pos="4844"/>
          <w:tab w:val="left" w:pos="6240"/>
        </w:tabs>
        <w:jc w:val="center"/>
        <w:rPr>
          <w:b/>
          <w:bCs/>
          <w:lang w:val="nl-NL"/>
        </w:rPr>
      </w:pPr>
      <w:r w:rsidRPr="005B7458">
        <w:rPr>
          <w:b/>
          <w:bCs/>
          <w:lang w:val="nl-NL"/>
        </w:rPr>
        <w:t>BÁO CÁO</w:t>
      </w:r>
    </w:p>
    <w:p w:rsidR="005B7458" w:rsidRPr="005B7458" w:rsidRDefault="005B7458" w:rsidP="005B7458">
      <w:pPr>
        <w:pStyle w:val="Title"/>
        <w:tabs>
          <w:tab w:val="left" w:pos="900"/>
        </w:tabs>
        <w:rPr>
          <w:b/>
          <w:bCs/>
          <w:sz w:val="26"/>
          <w:lang w:val="nl-NL"/>
        </w:rPr>
      </w:pPr>
      <w:r w:rsidRPr="005B7458">
        <w:rPr>
          <w:b/>
          <w:lang w:val="vi-VN"/>
        </w:rPr>
        <w:t>Tình hình thực hiện dự toán thu, chi ngân sách năm 201</w:t>
      </w:r>
      <w:r w:rsidRPr="005B7458">
        <w:rPr>
          <w:b/>
          <w:lang w:val="nl-NL"/>
        </w:rPr>
        <w:t>8</w:t>
      </w:r>
    </w:p>
    <w:p w:rsidR="005B7458" w:rsidRPr="005B7458" w:rsidRDefault="005B7458" w:rsidP="005B7458">
      <w:pPr>
        <w:pStyle w:val="Title"/>
        <w:tabs>
          <w:tab w:val="left" w:pos="900"/>
        </w:tabs>
        <w:rPr>
          <w:b/>
          <w:bCs/>
          <w:sz w:val="26"/>
          <w:lang w:val="nl-NL"/>
        </w:rPr>
      </w:pPr>
      <w:r w:rsidRPr="005B7458">
        <w:rPr>
          <w:sz w:val="8"/>
          <w:lang w:val="vi-VN"/>
        </w:rPr>
        <w:t>[</w:t>
      </w:r>
    </w:p>
    <w:p w:rsidR="005B7458" w:rsidRPr="005B7458" w:rsidRDefault="005B7458" w:rsidP="005B7458">
      <w:pPr>
        <w:jc w:val="both"/>
        <w:rPr>
          <w:lang w:val="nl-NL"/>
        </w:rPr>
      </w:pPr>
      <w:r w:rsidRPr="005B7458">
        <w:rPr>
          <w:noProof/>
        </w:rPr>
        <w:pict>
          <v:shape id="_x0000_s1031" type="#_x0000_t32" style="position:absolute;left:0;text-align:left;margin-left:217.35pt;margin-top:1.6pt;width:30.05pt;height:0;z-index:251663360" o:connectortype="straight"/>
        </w:pict>
      </w:r>
      <w:r w:rsidRPr="005B7458">
        <w:rPr>
          <w:lang w:val="nl-NL"/>
        </w:rPr>
        <w:t xml:space="preserve">         </w:t>
      </w:r>
    </w:p>
    <w:p w:rsidR="005B7458" w:rsidRPr="005B7458" w:rsidRDefault="005B7458" w:rsidP="002C1FE9">
      <w:pPr>
        <w:spacing w:before="120" w:after="120"/>
        <w:ind w:firstLine="709"/>
        <w:jc w:val="both"/>
        <w:rPr>
          <w:lang w:val="nl-NL"/>
        </w:rPr>
      </w:pPr>
      <w:r w:rsidRPr="005B7458">
        <w:rPr>
          <w:lang w:val="nl-NL"/>
        </w:rPr>
        <w:t xml:space="preserve">Căn cứ Quyết định số 1327/QĐ-UBND ngày 08/12/2017 của UBND tỉnh Kon Tum về việc giao chỉ tiêu kế hoạch kinh tế xã hội và dự toán ngân sách nhà nước năm 2018; </w:t>
      </w:r>
    </w:p>
    <w:p w:rsidR="005B7458" w:rsidRPr="005B7458" w:rsidRDefault="005B7458" w:rsidP="002C1FE9">
      <w:pPr>
        <w:spacing w:before="120" w:after="120"/>
        <w:ind w:firstLine="709"/>
        <w:jc w:val="both"/>
        <w:rPr>
          <w:lang w:val="nl-NL"/>
        </w:rPr>
      </w:pPr>
      <w:r w:rsidRPr="005B7458">
        <w:rPr>
          <w:lang w:val="nl-NL"/>
        </w:rPr>
        <w:t xml:space="preserve">Căn cứ Nghị quyết số 08/NQ- HĐND ngày 20/12/2017 của HĐND huyện Sa Thầy về việc giao chỉ tiêu kế hoạch và dự toán ngân sách nhà nước năm 2018; </w:t>
      </w:r>
    </w:p>
    <w:p w:rsidR="005B7458" w:rsidRPr="005B7458" w:rsidRDefault="005B7458" w:rsidP="002C1FE9">
      <w:pPr>
        <w:spacing w:before="120" w:after="120"/>
        <w:ind w:firstLine="709"/>
        <w:jc w:val="both"/>
        <w:rPr>
          <w:lang w:val="nl-NL"/>
        </w:rPr>
      </w:pPr>
      <w:r w:rsidRPr="005B7458">
        <w:rPr>
          <w:lang w:val="nl-NL"/>
        </w:rPr>
        <w:t>UBND huyện Sa Thầy báo cáo đánh giá tình hình thực hiện dự toán thu, chi ngân sách năm 2018 cụ thể như sau:</w:t>
      </w:r>
    </w:p>
    <w:p w:rsidR="005B7458" w:rsidRPr="005B7458" w:rsidRDefault="005B7458" w:rsidP="002C1FE9">
      <w:pPr>
        <w:spacing w:before="120" w:after="120"/>
        <w:ind w:firstLine="709"/>
        <w:jc w:val="both"/>
        <w:rPr>
          <w:lang w:val="nl-NL"/>
        </w:rPr>
      </w:pPr>
      <w:r w:rsidRPr="005B7458">
        <w:rPr>
          <w:b/>
          <w:lang w:val="nl-NL"/>
        </w:rPr>
        <w:t>I. Đánh giá thực hiện nhiệm vụ thu ngân sách nhà nước năm 2018</w:t>
      </w:r>
    </w:p>
    <w:p w:rsidR="005B7458" w:rsidRPr="005B7458" w:rsidRDefault="005B7458" w:rsidP="002C1FE9">
      <w:pPr>
        <w:spacing w:before="120" w:after="120"/>
        <w:ind w:firstLine="709"/>
        <w:jc w:val="both"/>
        <w:rPr>
          <w:b/>
          <w:lang w:val="nl-NL"/>
        </w:rPr>
      </w:pPr>
      <w:r w:rsidRPr="005B7458">
        <w:rPr>
          <w:b/>
          <w:lang w:val="nl-NL"/>
        </w:rPr>
        <w:t>1. Kết quả thu ngân sách nhà nước trên địa bàn</w:t>
      </w:r>
    </w:p>
    <w:p w:rsidR="005B7458" w:rsidRPr="005B7458" w:rsidRDefault="005B7458" w:rsidP="002C1FE9">
      <w:pPr>
        <w:spacing w:before="120" w:after="120"/>
        <w:ind w:firstLine="709"/>
        <w:jc w:val="both"/>
        <w:rPr>
          <w:lang w:val="nl-NL"/>
        </w:rPr>
      </w:pPr>
      <w:r w:rsidRPr="005B7458">
        <w:rPr>
          <w:lang w:val="nl-NL"/>
        </w:rPr>
        <w:t>Năm 2018, UBND tỉnh giao chỉ tiêu thu ngân sách nhà nước trên địa bàn huyện là 64.570 triệu đồng, HĐND huyện giao 71.367 triệu đồng, tăng 6.797 triệu đồng (10,52%) so với UBND tỉnh giao.</w:t>
      </w:r>
    </w:p>
    <w:p w:rsidR="005B7458" w:rsidRPr="005B7458" w:rsidRDefault="005B7458" w:rsidP="002C1FE9">
      <w:pPr>
        <w:spacing w:before="120" w:after="120"/>
        <w:ind w:firstLine="709"/>
        <w:jc w:val="both"/>
        <w:rPr>
          <w:lang w:val="nl-NL"/>
        </w:rPr>
      </w:pPr>
      <w:r w:rsidRPr="005B7458">
        <w:rPr>
          <w:lang w:val="nl-NL"/>
        </w:rPr>
        <w:t>Thực hiện thu ngân sách trên địa bàn huyện đến 31/10/2018 là 98.426 triệu đồng, đạt 152% dự toán tỉnh giao và 138% kế hoạch huyện giao; Trong đó, Chi cục thuế thu 29.835 triệu đồng, đạt 133% dự toán tỉnh giao và 102% dự toán huyện giao; Văn phòng Cục thuế thu 68.591 triệu đồng, đạt 163% dự toán. Ước thực hiện cả năm 2018 là 115.151 triệu đồng, đạt 178% dự toán tỉnh giao, đạt 161% dự toán huyện giao và bằng 111% so với cùng kỳ; Trong đó, Chi cục thuế huyện thu đạt 152% dự toán tỉnh giao, đạt 116% dự toán huyện giao. (</w:t>
      </w:r>
      <w:r w:rsidRPr="005B7458">
        <w:rPr>
          <w:i/>
          <w:lang w:val="nl-NL"/>
        </w:rPr>
        <w:t>ước thực hiện nếu loại trừ tiền sử dụng đất đạt 166% dự toán tỉnh giao, đạt 157% dự toán huyện giao và bằng 142% so cùng kỳ</w:t>
      </w:r>
      <w:r w:rsidRPr="005B7458">
        <w:rPr>
          <w:lang w:val="nl-NL"/>
        </w:rPr>
        <w:t>).</w:t>
      </w:r>
    </w:p>
    <w:p w:rsidR="005B7458" w:rsidRPr="005B7458" w:rsidRDefault="005B7458" w:rsidP="002C1FE9">
      <w:pPr>
        <w:spacing w:before="120" w:after="120"/>
        <w:ind w:firstLine="709"/>
        <w:jc w:val="both"/>
        <w:rPr>
          <w:lang w:val="nl-NL"/>
        </w:rPr>
      </w:pPr>
      <w:r w:rsidRPr="005B7458">
        <w:rPr>
          <w:b/>
          <w:i/>
          <w:lang w:val="nl-NL"/>
        </w:rPr>
        <w:t>1.1 Thu từ Doanh nghiệp Nhà nước Trung ương:</w:t>
      </w:r>
      <w:r w:rsidRPr="005B7458">
        <w:rPr>
          <w:lang w:val="nl-NL"/>
        </w:rPr>
        <w:t xml:space="preserve"> Ước thực hiện cả năm 7.160 triệu đồng, đạt 114% dự toán tỉnh giao, đạt 107% dự toán huyện giao và bằng 104% so cùng kỳ.</w:t>
      </w:r>
    </w:p>
    <w:p w:rsidR="005B7458" w:rsidRPr="005B7458" w:rsidRDefault="005B7458" w:rsidP="002C1FE9">
      <w:pPr>
        <w:spacing w:before="120" w:after="120"/>
        <w:ind w:firstLine="709"/>
        <w:jc w:val="both"/>
        <w:rPr>
          <w:lang w:val="nl-NL"/>
        </w:rPr>
      </w:pPr>
      <w:r w:rsidRPr="005B7458">
        <w:rPr>
          <w:b/>
          <w:i/>
          <w:lang w:val="nl-NL"/>
        </w:rPr>
        <w:t>1.2. Thu từ Doanh nghiệp Nhà nước địa phương:</w:t>
      </w:r>
      <w:r w:rsidRPr="005B7458">
        <w:rPr>
          <w:lang w:val="nl-NL"/>
        </w:rPr>
        <w:t xml:space="preserve"> Ước thực hiện cả năm là 342,76 triệu đồng, đạt 286% dự toán tỉnh giao, đạt 66% dự toán huyện giao và bằng 129% so với cùng kỳ.</w:t>
      </w:r>
    </w:p>
    <w:p w:rsidR="005B7458" w:rsidRPr="005B7458" w:rsidRDefault="005B7458" w:rsidP="002C1FE9">
      <w:pPr>
        <w:spacing w:before="120" w:after="120"/>
        <w:ind w:firstLine="709"/>
        <w:jc w:val="both"/>
        <w:rPr>
          <w:lang w:val="nl-NL"/>
        </w:rPr>
      </w:pPr>
      <w:r w:rsidRPr="005B7458">
        <w:rPr>
          <w:b/>
          <w:i/>
          <w:lang w:val="nl-NL"/>
        </w:rPr>
        <w:t>1.3. Thu từ thành phần kinh tế công thương nghiệp và dịch vụ ngoài quốc doanh:</w:t>
      </w:r>
      <w:r w:rsidRPr="005B7458">
        <w:rPr>
          <w:lang w:val="nl-NL"/>
        </w:rPr>
        <w:t xml:space="preserve"> Ước thực hiện cả năm là 87.345 triệu đồng, đạt 183% dự toán tỉnh giao, đạt 175% dự toán huyện giao và bằng 153% so với cùng kỳ; Trong đó, Chi cục thuế huyện thu 15.610 triệu đồng, đạt 116% so dự toán tỉnh giao và 99% dự toán huyện giao.</w:t>
      </w:r>
    </w:p>
    <w:p w:rsidR="005B7458" w:rsidRPr="005B7458" w:rsidRDefault="005B7458" w:rsidP="002C1FE9">
      <w:pPr>
        <w:spacing w:before="120" w:after="120"/>
        <w:ind w:firstLine="709"/>
        <w:jc w:val="both"/>
        <w:rPr>
          <w:lang w:val="nl-NL"/>
        </w:rPr>
      </w:pPr>
      <w:r w:rsidRPr="005B7458">
        <w:rPr>
          <w:b/>
          <w:i/>
          <w:lang w:val="nl-NL"/>
        </w:rPr>
        <w:lastRenderedPageBreak/>
        <w:t>1.4. Thu tiền sử dụng đất:</w:t>
      </w:r>
      <w:r w:rsidRPr="005B7458">
        <w:rPr>
          <w:lang w:val="nl-NL"/>
        </w:rPr>
        <w:t>. Ước thực hiện cả năm 9.643,55 triệu đồng, đạt 964% dự toán tỉnh giao, đạt 236% dự toán huyện giao và bằng 96% so cùng kỳ.</w:t>
      </w:r>
    </w:p>
    <w:p w:rsidR="005B7458" w:rsidRPr="005B7458" w:rsidRDefault="005B7458" w:rsidP="002C1FE9">
      <w:pPr>
        <w:spacing w:before="120" w:after="120"/>
        <w:ind w:firstLine="709"/>
        <w:jc w:val="both"/>
        <w:rPr>
          <w:lang w:val="nl-NL"/>
        </w:rPr>
      </w:pPr>
      <w:r w:rsidRPr="005B7458">
        <w:rPr>
          <w:b/>
          <w:i/>
          <w:lang w:val="nl-NL"/>
        </w:rPr>
        <w:t>1.5. Thuế thu nhập cá nhân:</w:t>
      </w:r>
      <w:r w:rsidRPr="005B7458">
        <w:rPr>
          <w:lang w:val="nl-NL"/>
        </w:rPr>
        <w:t xml:space="preserve"> Ước thực hiện cả năm 4.850 triệu đồng, đạt 113% dự toán tỉnh giao, đạt 108% dự toán huyện giao và bằng 108% so cùng kỳ.</w:t>
      </w:r>
    </w:p>
    <w:p w:rsidR="005B7458" w:rsidRPr="005B7458" w:rsidRDefault="005B7458" w:rsidP="002C1FE9">
      <w:pPr>
        <w:spacing w:before="120" w:after="120"/>
        <w:ind w:firstLine="709"/>
        <w:jc w:val="both"/>
        <w:rPr>
          <w:lang w:val="nl-NL"/>
        </w:rPr>
      </w:pPr>
      <w:r w:rsidRPr="005B7458">
        <w:rPr>
          <w:b/>
          <w:i/>
          <w:lang w:val="nl-NL"/>
        </w:rPr>
        <w:t>1.6. Lệ phí trước bạ:</w:t>
      </w:r>
      <w:r w:rsidRPr="005B7458">
        <w:rPr>
          <w:lang w:val="nl-NL"/>
        </w:rPr>
        <w:t xml:space="preserve"> Ước thực hiện cả năm 3.000 triệu đồng, đạt 136% dự toán tỉnh giao, đạt 125% dự toán huyện giao và bằng 117% so cùng kỳ.</w:t>
      </w:r>
    </w:p>
    <w:p w:rsidR="005B7458" w:rsidRPr="005B7458" w:rsidRDefault="005B7458" w:rsidP="002C1FE9">
      <w:pPr>
        <w:spacing w:before="120" w:after="120"/>
        <w:ind w:firstLine="709"/>
        <w:jc w:val="both"/>
        <w:rPr>
          <w:lang w:val="nl-NL"/>
        </w:rPr>
      </w:pPr>
      <w:r w:rsidRPr="005B7458">
        <w:rPr>
          <w:b/>
          <w:i/>
          <w:lang w:val="nl-NL"/>
        </w:rPr>
        <w:t>1.7. Các loại phí và lệ phí:</w:t>
      </w:r>
      <w:r w:rsidRPr="005B7458">
        <w:rPr>
          <w:lang w:val="nl-NL"/>
        </w:rPr>
        <w:t xml:space="preserve"> Ước thực hiện cả năm 953 triệu đồng, đạt 72% dự toán tỉnh giao và huyện giao, bằng 131% so cùng kỳ.</w:t>
      </w:r>
    </w:p>
    <w:p w:rsidR="005B7458" w:rsidRPr="005B7458" w:rsidRDefault="005B7458" w:rsidP="002C1FE9">
      <w:pPr>
        <w:spacing w:before="120" w:after="120"/>
        <w:ind w:firstLine="709"/>
        <w:jc w:val="both"/>
        <w:rPr>
          <w:lang w:val="nl-NL"/>
        </w:rPr>
      </w:pPr>
      <w:r w:rsidRPr="005B7458">
        <w:rPr>
          <w:b/>
          <w:i/>
          <w:lang w:val="nl-NL"/>
        </w:rPr>
        <w:t>1.8. Các khoản thu khác còn lại:</w:t>
      </w:r>
      <w:r w:rsidRPr="005B7458">
        <w:rPr>
          <w:lang w:val="nl-NL"/>
        </w:rPr>
        <w:t xml:space="preserve"> Ước thực hiện cả năm 1.975 triệu đồng, đạt 116% dự toán tỉnh giao và đạt 103% huyện giao, bằng 86% so cùng kỳ.</w:t>
      </w:r>
    </w:p>
    <w:p w:rsidR="005B7458" w:rsidRPr="005B7458" w:rsidRDefault="005B7458" w:rsidP="002C1FE9">
      <w:pPr>
        <w:spacing w:before="120" w:after="120"/>
        <w:ind w:firstLine="709"/>
        <w:jc w:val="both"/>
        <w:rPr>
          <w:lang w:val="nl-NL"/>
        </w:rPr>
      </w:pPr>
      <w:r w:rsidRPr="005B7458">
        <w:rPr>
          <w:b/>
          <w:lang w:val="vi-VN"/>
        </w:rPr>
        <w:t>2. Thu ngân sách huyện</w:t>
      </w:r>
    </w:p>
    <w:p w:rsidR="005B7458" w:rsidRPr="005B7458" w:rsidRDefault="005B7458" w:rsidP="002C1FE9">
      <w:pPr>
        <w:spacing w:before="120" w:after="120"/>
        <w:ind w:firstLine="709"/>
        <w:jc w:val="both"/>
        <w:rPr>
          <w:lang w:val="nl-NL"/>
        </w:rPr>
      </w:pPr>
      <w:r w:rsidRPr="005B7458">
        <w:rPr>
          <w:lang w:val="vi-VN"/>
        </w:rPr>
        <w:t>- Tổng dự toán thu ngân sách huyện HĐND giao đầu năm là: 320.058 triệu đồng; trong đó, thu ngân sách trên địa bàn huyện hưởng theo phân cấp 57.856 triệu đồng; thu bổ sung cân đối 198.509 triệu đồng; bổ sung mục tiêu 63.693 triệu đồng.</w:t>
      </w:r>
    </w:p>
    <w:p w:rsidR="005B7458" w:rsidRPr="005B7458" w:rsidRDefault="005B7458" w:rsidP="002C1FE9">
      <w:pPr>
        <w:spacing w:before="120" w:after="120"/>
        <w:ind w:firstLine="709"/>
        <w:jc w:val="both"/>
        <w:rPr>
          <w:lang w:val="nl-NL"/>
        </w:rPr>
      </w:pPr>
      <w:r w:rsidRPr="005B7458">
        <w:rPr>
          <w:lang w:val="vi-VN"/>
        </w:rPr>
        <w:t xml:space="preserve">- Ước thực hiện cả năm là 426.937 triệu đồng, đạt 133% dự toán; trong đó, thu ngân sách trên địa bàn 96.615 triệu đồng, đạt 167% dự toán giao, bằng 110% cùng kỳ </w:t>
      </w:r>
      <w:r w:rsidRPr="005B7458">
        <w:rPr>
          <w:i/>
          <w:lang w:val="vi-VN"/>
        </w:rPr>
        <w:t>( Số thu loại trừ tiền sử dụng đất đạt 88.805 triệu đồng, đạt 163% dự toán huyện giao);</w:t>
      </w:r>
      <w:r w:rsidRPr="005B7458">
        <w:rPr>
          <w:lang w:val="vi-VN"/>
        </w:rPr>
        <w:t xml:space="preserve"> thu bổ sung từ ngân sách cấp trên 273.854 triệu đồng, đạt 104% dự toán; thu chuyển nguồn 43.243 triệu đồng; Kết dư ngân sách 13.002,43 triệu đồng.</w:t>
      </w:r>
    </w:p>
    <w:p w:rsidR="005B7458" w:rsidRPr="005B7458" w:rsidRDefault="005B7458" w:rsidP="002C1FE9">
      <w:pPr>
        <w:spacing w:before="120" w:after="120"/>
        <w:ind w:firstLine="709"/>
        <w:jc w:val="both"/>
        <w:rPr>
          <w:b/>
        </w:rPr>
      </w:pPr>
      <w:r w:rsidRPr="005B7458">
        <w:rPr>
          <w:b/>
          <w:lang w:val="vi-VN"/>
        </w:rPr>
        <w:t>3. Tình hình nợ đọng thuế</w:t>
      </w:r>
    </w:p>
    <w:p w:rsidR="005B7458" w:rsidRPr="005B7458" w:rsidRDefault="005B7458" w:rsidP="002C1FE9">
      <w:pPr>
        <w:spacing w:before="120" w:after="120"/>
        <w:ind w:firstLine="709"/>
        <w:jc w:val="both"/>
      </w:pPr>
      <w:r w:rsidRPr="005B7458">
        <w:rPr>
          <w:lang w:val="vi-VN"/>
        </w:rPr>
        <w:t>- Nợ đọng thuế đến 31/12/2017: 3.111 triệu đồng; trong đó, nợ khó thu 2.263 triệu đồng, nợ có khả năng thu 848 triệu đồng</w:t>
      </w:r>
      <w:r w:rsidRPr="005B7458">
        <w:t>.</w:t>
      </w:r>
    </w:p>
    <w:p w:rsidR="005B7458" w:rsidRPr="005B7458" w:rsidRDefault="005B7458" w:rsidP="002C1FE9">
      <w:pPr>
        <w:spacing w:before="120" w:after="120"/>
        <w:ind w:firstLine="709"/>
        <w:jc w:val="both"/>
        <w:rPr>
          <w:lang w:val="nl-NL"/>
        </w:rPr>
      </w:pPr>
      <w:r w:rsidRPr="005B7458">
        <w:rPr>
          <w:lang w:val="vi-VN"/>
        </w:rPr>
        <w:t>- Nợ đọng đến 31/10/2018 là 3.126 triệu đồng, tăng so với nợ đầu năm 15 triệu đồng (0,48%). Trong đó: Nợ khó thu 2.314 triệu đồng, tăng so với số nợ đầu năm 51 triệu đồng; gồm (chủ yếu là tiền chậm nộp); nợ có khả năng thu 812 triệu đồng, giảm so với số nợ đầu năm 36 triệu đồng.</w:t>
      </w:r>
    </w:p>
    <w:p w:rsidR="005B7458" w:rsidRPr="005B7458" w:rsidRDefault="005B7458" w:rsidP="002C1FE9">
      <w:pPr>
        <w:spacing w:before="120" w:after="120"/>
        <w:ind w:firstLine="709"/>
        <w:jc w:val="both"/>
        <w:rPr>
          <w:b/>
        </w:rPr>
      </w:pPr>
      <w:r w:rsidRPr="005B7458">
        <w:rPr>
          <w:b/>
          <w:lang w:val="vi-VN"/>
        </w:rPr>
        <w:t>II. Tình hình thực hiện chi ngân sách</w:t>
      </w:r>
    </w:p>
    <w:p w:rsidR="005B7458" w:rsidRPr="005B7458" w:rsidRDefault="005B7458" w:rsidP="002C1FE9">
      <w:pPr>
        <w:spacing w:before="120" w:after="120"/>
        <w:ind w:firstLine="709"/>
        <w:jc w:val="both"/>
        <w:rPr>
          <w:lang w:val="nl-NL"/>
        </w:rPr>
      </w:pPr>
      <w:r w:rsidRPr="005B7458">
        <w:rPr>
          <w:lang w:val="vi-VN"/>
        </w:rPr>
        <w:t xml:space="preserve">Dự toán chi ngân sách huyện năm 2018 HĐND huyện giao 320.058 triệu đồng, tăng 5.207 triệu đồng so với UBND tỉnh giao (1,65%); trong đó: Chi đầu tư phát triển 49.351 triệu đồng; Chi thường xuyên 265.687 triệu đồng; Dự phòng ngân sách 5.020 triệu đồng. </w:t>
      </w:r>
    </w:p>
    <w:p w:rsidR="005B7458" w:rsidRPr="005B7458" w:rsidRDefault="005B7458" w:rsidP="002C1FE9">
      <w:pPr>
        <w:spacing w:before="120" w:after="120"/>
        <w:ind w:firstLine="709"/>
        <w:jc w:val="both"/>
        <w:rPr>
          <w:lang w:val="nl-NL"/>
        </w:rPr>
      </w:pPr>
      <w:r w:rsidRPr="005B7458">
        <w:rPr>
          <w:lang w:val="vi-VN"/>
        </w:rPr>
        <w:t>Ước thực hiện cả năm là 388.263 triệu đồng, đạt 121% dự toán, 100% nhiệm vụ chi và bằng 116,8% so cùng kỳ; Trong đó, chi đầu tư phát triển đạt 169% dự toán, 100% nhiệm vụ chi; chi thường xuyên đạt 100% nhiệm vụ chi, Chi nguồn dự phòng ngân sách đạt 100%.</w:t>
      </w:r>
    </w:p>
    <w:p w:rsidR="005B7458" w:rsidRPr="005B7458" w:rsidRDefault="005B7458" w:rsidP="002C1FE9">
      <w:pPr>
        <w:spacing w:before="120" w:after="120"/>
        <w:ind w:firstLine="709"/>
        <w:jc w:val="both"/>
        <w:rPr>
          <w:b/>
        </w:rPr>
      </w:pPr>
      <w:r w:rsidRPr="005B7458">
        <w:rPr>
          <w:b/>
          <w:lang w:val="vi-VN"/>
        </w:rPr>
        <w:t>III. Đánh giá tình hình thực hiện thu, chi ngân sách năm 2018</w:t>
      </w:r>
    </w:p>
    <w:p w:rsidR="005B7458" w:rsidRPr="005B7458" w:rsidRDefault="005B7458" w:rsidP="002C1FE9">
      <w:pPr>
        <w:spacing w:before="120" w:after="120"/>
        <w:ind w:firstLine="709"/>
        <w:jc w:val="both"/>
      </w:pPr>
      <w:r w:rsidRPr="005B7458">
        <w:rPr>
          <w:b/>
          <w:lang w:val="vi-VN"/>
        </w:rPr>
        <w:t>1</w:t>
      </w:r>
      <w:r w:rsidRPr="005B7458">
        <w:rPr>
          <w:b/>
        </w:rPr>
        <w:t>.</w:t>
      </w:r>
      <w:r w:rsidRPr="005B7458">
        <w:rPr>
          <w:b/>
          <w:lang w:val="vi-VN"/>
        </w:rPr>
        <w:t xml:space="preserve"> Về phần thu</w:t>
      </w:r>
      <w:r w:rsidRPr="005B7458">
        <w:rPr>
          <w:b/>
        </w:rPr>
        <w:t xml:space="preserve"> ngân sách</w:t>
      </w:r>
    </w:p>
    <w:p w:rsidR="005B7458" w:rsidRPr="005B7458" w:rsidRDefault="005B7458" w:rsidP="002C1FE9">
      <w:pPr>
        <w:spacing w:before="120" w:after="120"/>
        <w:ind w:firstLine="709"/>
        <w:jc w:val="both"/>
      </w:pPr>
      <w:r w:rsidRPr="005B7458">
        <w:rPr>
          <w:lang w:val="vi-VN"/>
        </w:rPr>
        <w:lastRenderedPageBreak/>
        <w:t>Năm 2018 là năm rất thuận lợi cho việc thu ngân sách trên địa bàn, tình hình kinh tế xã hội của đất nước có nhiều chuyển biết tốt, hoạt động sản xuất kinh doanh của một số ngành thuận lợi, đặc biệt là giá nông sản chủ lực trên địa bàn (sắn) tăng mạnh, giá cà phê, cao su tương đối ổn định đã tác động tích cực tới kinh tế huyện nhà. Bên cạnh đó thị trường bất động sản cả nước sôi động nên việc mua bán chuyển đổi mục đích sử dụng đất, xây dựng cơ sở vật chất của huyện tăng cao thuận lợi cho việc thu tiền sử dụng đất; cùng với sự nỗ lực của các cấp, các ngành của huyện và vai trò nỗ lực của ngành thuế nên nguồn thu trên địa bàn vượt khá cao so với chỉ tiêu kế hoạch đề ra.</w:t>
      </w:r>
    </w:p>
    <w:p w:rsidR="005B7458" w:rsidRPr="005B7458" w:rsidRDefault="005B7458" w:rsidP="002C1FE9">
      <w:pPr>
        <w:spacing w:before="120" w:after="120"/>
        <w:ind w:firstLine="709"/>
        <w:jc w:val="both"/>
      </w:pPr>
      <w:r w:rsidRPr="005B7458">
        <w:rPr>
          <w:lang w:val="vi-VN"/>
        </w:rPr>
        <w:t>Tuy nhiên một số nguồn thu chưa đảm bảo kế hoạch như thu từ Doanh nghiệp Nhà nước địa phương và thu các loại phí, lệ phí. Do năm 2018 không tăng thêm doanh nghiệp nhà nước trên địa bàn, phí bảo vệ môi trường của một số mỏ vật liệu chưa được cấp giấy phép khai thác nên chưa đưa vào hoạt động. Công tác nợ đọng thuế vẫn còn lớn, nợ không có khả năng thu số tiền 2.263 triệu đồng, đây là những tồn tại từ năm 2015 trở về trước, các doanh nghiệp làm ăn thua lỗ đã giải thể, không hoạt động, bỏ đi khỏi địa bàn và phát sinh từ các doanh nghiệp chuyển tới địa bàn.</w:t>
      </w:r>
    </w:p>
    <w:p w:rsidR="005B7458" w:rsidRPr="005B7458" w:rsidRDefault="005B7458" w:rsidP="002C1FE9">
      <w:pPr>
        <w:spacing w:before="120" w:after="120"/>
        <w:ind w:firstLine="709"/>
        <w:jc w:val="both"/>
      </w:pPr>
      <w:r w:rsidRPr="005B7458">
        <w:rPr>
          <w:b/>
          <w:lang w:val="vi-VN"/>
        </w:rPr>
        <w:t>2. Tình hình thực hiện nhiệm vụ chi ngân sách</w:t>
      </w:r>
    </w:p>
    <w:p w:rsidR="005B7458" w:rsidRPr="005B7458" w:rsidRDefault="005B7458" w:rsidP="002C1FE9">
      <w:pPr>
        <w:spacing w:before="120" w:after="120"/>
        <w:ind w:firstLine="709"/>
        <w:jc w:val="both"/>
      </w:pPr>
      <w:r w:rsidRPr="005B7458">
        <w:t>Xác định chi ngân sách là một nhiệm vụ quan trọng, góp phần phát triển kinh tế xã hội, nâng cao chất lượng hoạt động của cơ quan nhà nước trên địa bàn. Ngay từ đầu năm 2018 thực hiện Quyết định số 62/QĐ-UBND ngày 16/01/2018 của UBND tỉnh về Chương trình hành động triển khai thực hiện các Nghị quyết của Chính phủ, HĐND tỉnh về kinh tế xã hội và dự toán ngân sách năm 2018, UBND huyện đã tập trung chỉ đạo, thực hiện nghiêm túc nhiệm vụ chi ngân sách, tiết kiệm triệt để các khoản chi thường xuyên, chủ động sắp xếp chi thường xuyên kể cả nhiệm vụ phát sinh trong phạm vi dự toán được giao, ưu tiên các nhiệm vụ quan trọng, bảo đảm nguồn lực thực hiện các chính sách an sinh xã hội và điều chỉnh tiền lương; giảm mạnh kinh phí tổ chức hội nghị, hội thảo, khánh tiết; bố trí kinh phí mua sắm trang thiết bị chặt chẽ, đúng quy định; giãn tiến độ thực hiện nhiệm vụ chi chưa thật sự cấp thiết vào cuối năm; đồng thời đẩy nhanh tiến độ thực hiện và giải ngân xây dựng cơ bản. Do vậy, các nhiệm vụ chi năm 2018 cơ bản đáp ứng yêu cầu đặt ra, tạo điều kiện phát triển kinh tế xã hội địa phương.</w:t>
      </w:r>
    </w:p>
    <w:p w:rsidR="005B7458" w:rsidRPr="005B7458" w:rsidRDefault="005B7458" w:rsidP="005B7458">
      <w:pPr>
        <w:spacing w:before="120" w:after="120"/>
        <w:ind w:firstLine="709"/>
        <w:jc w:val="both"/>
        <w:rPr>
          <w:lang w:val="nl-NL"/>
        </w:rPr>
      </w:pPr>
      <w:r w:rsidRPr="005B7458">
        <w:rPr>
          <w:lang w:val="vi-VN"/>
        </w:rPr>
        <w:t>Trên đây là báo cáo đánh giá tình hình thực hiện dự toán thu, chi ngân sách năm 201</w:t>
      </w:r>
      <w:r w:rsidRPr="005B7458">
        <w:rPr>
          <w:lang w:val="de-DE"/>
        </w:rPr>
        <w:t>8</w:t>
      </w:r>
      <w:r w:rsidRPr="005B7458">
        <w:rPr>
          <w:lang w:val="vi-VN"/>
        </w:rPr>
        <w:t xml:space="preserve">, UBND huyện báo cáo trình kỳ họp Hội đồng nhân dân huyện khoá X, kỳ họp thứ </w:t>
      </w:r>
      <w:r w:rsidRPr="005B7458">
        <w:rPr>
          <w:lang w:val="de-DE"/>
        </w:rPr>
        <w:t>7</w:t>
      </w:r>
      <w:r w:rsidRPr="005B7458">
        <w:rPr>
          <w:lang w:val="vi-V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gridCol w:w="4735"/>
      </w:tblGrid>
      <w:tr w:rsidR="005B7458" w:rsidRPr="005B7458" w:rsidTr="001E1B75">
        <w:trPr>
          <w:trHeight w:val="1701"/>
        </w:trPr>
        <w:tc>
          <w:tcPr>
            <w:tcW w:w="4628" w:type="dxa"/>
          </w:tcPr>
          <w:p w:rsidR="005B7458" w:rsidRPr="005B7458" w:rsidRDefault="005B7458" w:rsidP="009F1004">
            <w:pPr>
              <w:jc w:val="both"/>
              <w:rPr>
                <w:b/>
                <w:i/>
                <w:sz w:val="24"/>
                <w:szCs w:val="24"/>
                <w:lang w:val="nl-NL"/>
              </w:rPr>
            </w:pPr>
            <w:r w:rsidRPr="005B7458">
              <w:rPr>
                <w:b/>
                <w:i/>
                <w:sz w:val="24"/>
                <w:szCs w:val="24"/>
                <w:lang w:val="nl-NL"/>
              </w:rPr>
              <w:t>Nơi nhận:</w:t>
            </w:r>
          </w:p>
          <w:p w:rsidR="005B7458" w:rsidRPr="005B7458" w:rsidRDefault="005B7458" w:rsidP="009F1004">
            <w:pPr>
              <w:tabs>
                <w:tab w:val="center" w:pos="4844"/>
                <w:tab w:val="left" w:pos="6240"/>
              </w:tabs>
              <w:rPr>
                <w:b/>
                <w:sz w:val="26"/>
                <w:szCs w:val="26"/>
                <w:lang w:val="nl-NL"/>
              </w:rPr>
            </w:pPr>
            <w:r w:rsidRPr="005B7458">
              <w:rPr>
                <w:sz w:val="22"/>
                <w:szCs w:val="22"/>
                <w:lang w:val="nl-NL"/>
              </w:rPr>
              <w:t xml:space="preserve">- HĐND huyện (Báo cáo); </w:t>
            </w:r>
            <w:r w:rsidRPr="005B7458">
              <w:rPr>
                <w:sz w:val="22"/>
                <w:szCs w:val="22"/>
                <w:lang w:val="nl-NL"/>
              </w:rPr>
              <w:tab/>
            </w:r>
            <w:r w:rsidRPr="005B7458">
              <w:rPr>
                <w:sz w:val="22"/>
                <w:szCs w:val="22"/>
                <w:lang w:val="nl-NL"/>
              </w:rPr>
              <w:tab/>
              <w:t xml:space="preserve">            </w:t>
            </w:r>
          </w:p>
          <w:p w:rsidR="005B7458" w:rsidRPr="005B7458" w:rsidRDefault="005B7458" w:rsidP="009F1004">
            <w:pPr>
              <w:tabs>
                <w:tab w:val="center" w:pos="4844"/>
                <w:tab w:val="left" w:pos="6240"/>
              </w:tabs>
              <w:rPr>
                <w:sz w:val="22"/>
                <w:szCs w:val="22"/>
                <w:lang w:val="nl-NL"/>
              </w:rPr>
            </w:pPr>
            <w:r w:rsidRPr="005B7458">
              <w:rPr>
                <w:sz w:val="22"/>
                <w:szCs w:val="22"/>
                <w:lang w:val="nl-NL"/>
              </w:rPr>
              <w:t xml:space="preserve">- Ban </w:t>
            </w:r>
            <w:r w:rsidR="001E1B75">
              <w:rPr>
                <w:sz w:val="22"/>
                <w:szCs w:val="22"/>
                <w:lang w:val="nl-NL"/>
              </w:rPr>
              <w:t>K</w:t>
            </w:r>
            <w:r w:rsidRPr="005B7458">
              <w:rPr>
                <w:sz w:val="22"/>
                <w:szCs w:val="22"/>
                <w:lang w:val="nl-NL"/>
              </w:rPr>
              <w:t>inh tế</w:t>
            </w:r>
            <w:r w:rsidR="001E1B75">
              <w:rPr>
                <w:sz w:val="22"/>
                <w:szCs w:val="22"/>
                <w:lang w:val="nl-NL"/>
              </w:rPr>
              <w:t xml:space="preserve"> </w:t>
            </w:r>
            <w:r w:rsidRPr="005B7458">
              <w:rPr>
                <w:sz w:val="22"/>
                <w:szCs w:val="22"/>
                <w:lang w:val="nl-NL"/>
              </w:rPr>
              <w:t xml:space="preserve">- </w:t>
            </w:r>
            <w:r w:rsidR="001E1B75">
              <w:rPr>
                <w:sz w:val="22"/>
                <w:szCs w:val="22"/>
                <w:lang w:val="nl-NL"/>
              </w:rPr>
              <w:t>X</w:t>
            </w:r>
            <w:r w:rsidRPr="005B7458">
              <w:rPr>
                <w:sz w:val="22"/>
                <w:szCs w:val="22"/>
                <w:lang w:val="nl-NL"/>
              </w:rPr>
              <w:t>ã hội HĐND huyện;</w:t>
            </w:r>
          </w:p>
          <w:p w:rsidR="005B7458" w:rsidRPr="005B7458" w:rsidRDefault="005B7458" w:rsidP="009F1004">
            <w:pPr>
              <w:tabs>
                <w:tab w:val="center" w:pos="4844"/>
                <w:tab w:val="left" w:pos="6240"/>
              </w:tabs>
              <w:rPr>
                <w:sz w:val="22"/>
                <w:szCs w:val="22"/>
                <w:lang w:val="nl-NL"/>
              </w:rPr>
            </w:pPr>
            <w:r w:rsidRPr="005B7458">
              <w:rPr>
                <w:sz w:val="22"/>
                <w:szCs w:val="22"/>
                <w:lang w:val="nl-NL"/>
              </w:rPr>
              <w:t>- Đại biểu HĐND huyện khoá X;</w:t>
            </w:r>
          </w:p>
          <w:p w:rsidR="005B7458" w:rsidRPr="005B7458" w:rsidRDefault="005B7458" w:rsidP="009F1004">
            <w:pPr>
              <w:jc w:val="both"/>
              <w:rPr>
                <w:lang w:val="nl-NL"/>
              </w:rPr>
            </w:pPr>
            <w:r w:rsidRPr="005B7458">
              <w:rPr>
                <w:sz w:val="22"/>
                <w:szCs w:val="22"/>
                <w:lang w:val="nl-NL"/>
              </w:rPr>
              <w:t>- Lưu: VT-LT</w:t>
            </w:r>
            <w:r w:rsidRPr="005B7458">
              <w:rPr>
                <w:sz w:val="22"/>
                <w:szCs w:val="22"/>
                <w:vertAlign w:val="subscript"/>
                <w:lang w:val="nl-NL"/>
              </w:rPr>
              <w:t>KTH</w:t>
            </w:r>
          </w:p>
        </w:tc>
        <w:tc>
          <w:tcPr>
            <w:tcW w:w="4735" w:type="dxa"/>
          </w:tcPr>
          <w:p w:rsidR="005B7458" w:rsidRPr="005B7458" w:rsidRDefault="005B7458" w:rsidP="009F1004">
            <w:pPr>
              <w:jc w:val="center"/>
              <w:rPr>
                <w:b/>
                <w:sz w:val="26"/>
                <w:szCs w:val="26"/>
                <w:lang w:val="nl-NL"/>
              </w:rPr>
            </w:pPr>
            <w:r w:rsidRPr="005B7458">
              <w:rPr>
                <w:b/>
                <w:sz w:val="26"/>
                <w:szCs w:val="26"/>
                <w:lang w:val="nl-NL"/>
              </w:rPr>
              <w:t>TM. UỶ BAN NHÂN DÂN</w:t>
            </w:r>
          </w:p>
          <w:p w:rsidR="005B7458" w:rsidRPr="005B7458" w:rsidRDefault="005B7458" w:rsidP="009F1004">
            <w:pPr>
              <w:jc w:val="center"/>
              <w:rPr>
                <w:b/>
                <w:sz w:val="26"/>
                <w:szCs w:val="26"/>
                <w:lang w:val="nl-NL"/>
              </w:rPr>
            </w:pPr>
            <w:r w:rsidRPr="005B7458">
              <w:rPr>
                <w:b/>
                <w:sz w:val="26"/>
                <w:szCs w:val="26"/>
                <w:lang w:val="nl-NL"/>
              </w:rPr>
              <w:t>CHỦ TỊCH</w:t>
            </w:r>
          </w:p>
          <w:p w:rsidR="005B7458" w:rsidRPr="005B7458" w:rsidRDefault="005B7458" w:rsidP="009F1004">
            <w:pPr>
              <w:jc w:val="center"/>
              <w:rPr>
                <w:b/>
                <w:sz w:val="26"/>
                <w:szCs w:val="26"/>
                <w:lang w:val="nl-NL"/>
              </w:rPr>
            </w:pPr>
            <w:r w:rsidRPr="005B7458">
              <w:rPr>
                <w:b/>
                <w:sz w:val="26"/>
                <w:szCs w:val="26"/>
                <w:lang w:val="nl-NL"/>
              </w:rPr>
              <w:t>(Đã ký)</w:t>
            </w:r>
          </w:p>
          <w:p w:rsidR="005B7458" w:rsidRPr="005B7458" w:rsidRDefault="005B7458" w:rsidP="009F1004">
            <w:pPr>
              <w:jc w:val="center"/>
              <w:rPr>
                <w:b/>
                <w:sz w:val="26"/>
                <w:szCs w:val="26"/>
                <w:lang w:val="nl-NL"/>
              </w:rPr>
            </w:pPr>
          </w:p>
          <w:p w:rsidR="005B7458" w:rsidRPr="005B7458" w:rsidRDefault="005B7458" w:rsidP="009F1004">
            <w:pPr>
              <w:jc w:val="center"/>
              <w:rPr>
                <w:lang w:val="nl-NL"/>
              </w:rPr>
            </w:pPr>
            <w:r w:rsidRPr="005B7458">
              <w:rPr>
                <w:b/>
                <w:sz w:val="26"/>
                <w:szCs w:val="26"/>
                <w:lang w:val="nl-NL"/>
              </w:rPr>
              <w:t>Nguyễn Ngọc Sâm</w:t>
            </w:r>
          </w:p>
        </w:tc>
      </w:tr>
    </w:tbl>
    <w:p w:rsidR="005B7458" w:rsidRPr="005B7458" w:rsidRDefault="005B7458" w:rsidP="005B7458">
      <w:pPr>
        <w:jc w:val="both"/>
        <w:rPr>
          <w:sz w:val="26"/>
          <w:szCs w:val="26"/>
          <w:lang w:val="nl-NL"/>
        </w:rPr>
      </w:pPr>
      <w:r w:rsidRPr="005B7458">
        <w:rPr>
          <w:sz w:val="26"/>
          <w:szCs w:val="26"/>
          <w:lang w:val="nl-NL"/>
        </w:rPr>
        <w:t xml:space="preserve">                                  </w:t>
      </w:r>
    </w:p>
    <w:p w:rsidR="00287827" w:rsidRPr="002C1FE9" w:rsidRDefault="005B7458" w:rsidP="002C1FE9">
      <w:pPr>
        <w:tabs>
          <w:tab w:val="center" w:pos="4844"/>
          <w:tab w:val="left" w:pos="6240"/>
        </w:tabs>
        <w:rPr>
          <w:sz w:val="22"/>
          <w:szCs w:val="22"/>
          <w:lang w:val="nl-NL"/>
        </w:rPr>
      </w:pPr>
      <w:r w:rsidRPr="005B7458">
        <w:rPr>
          <w:sz w:val="22"/>
          <w:szCs w:val="22"/>
          <w:lang w:val="nl-NL"/>
        </w:rPr>
        <w:t>.</w:t>
      </w:r>
    </w:p>
    <w:sectPr w:rsidR="00287827" w:rsidRPr="002C1FE9" w:rsidSect="009B15FB">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8B" w:rsidRDefault="00D33A8B" w:rsidP="003E51E8">
      <w:r>
        <w:separator/>
      </w:r>
    </w:p>
  </w:endnote>
  <w:endnote w:type="continuationSeparator" w:id="1">
    <w:p w:rsidR="00D33A8B" w:rsidRDefault="00D33A8B" w:rsidP="003E51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354"/>
      <w:docPartObj>
        <w:docPartGallery w:val="Page Numbers (Bottom of Page)"/>
        <w:docPartUnique/>
      </w:docPartObj>
    </w:sdtPr>
    <w:sdtContent>
      <w:p w:rsidR="003E51E8" w:rsidRDefault="003E51E8">
        <w:pPr>
          <w:pStyle w:val="Footer"/>
          <w:jc w:val="center"/>
        </w:pPr>
        <w:r w:rsidRPr="003E51E8">
          <w:rPr>
            <w:sz w:val="24"/>
            <w:szCs w:val="24"/>
          </w:rPr>
          <w:fldChar w:fldCharType="begin"/>
        </w:r>
        <w:r w:rsidRPr="003E51E8">
          <w:rPr>
            <w:sz w:val="24"/>
            <w:szCs w:val="24"/>
          </w:rPr>
          <w:instrText xml:space="preserve"> PAGE   \* MERGEFORMAT </w:instrText>
        </w:r>
        <w:r w:rsidRPr="003E51E8">
          <w:rPr>
            <w:sz w:val="24"/>
            <w:szCs w:val="24"/>
          </w:rPr>
          <w:fldChar w:fldCharType="separate"/>
        </w:r>
        <w:r w:rsidR="001E1B75">
          <w:rPr>
            <w:noProof/>
            <w:sz w:val="24"/>
            <w:szCs w:val="24"/>
          </w:rPr>
          <w:t>3</w:t>
        </w:r>
        <w:r w:rsidRPr="003E51E8">
          <w:rPr>
            <w:sz w:val="24"/>
            <w:szCs w:val="24"/>
          </w:rPr>
          <w:fldChar w:fldCharType="end"/>
        </w:r>
      </w:p>
    </w:sdtContent>
  </w:sdt>
  <w:p w:rsidR="003E51E8" w:rsidRDefault="003E5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8B" w:rsidRDefault="00D33A8B" w:rsidP="003E51E8">
      <w:r>
        <w:separator/>
      </w:r>
    </w:p>
  </w:footnote>
  <w:footnote w:type="continuationSeparator" w:id="1">
    <w:p w:rsidR="00D33A8B" w:rsidRDefault="00D33A8B" w:rsidP="003E51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7458"/>
    <w:rsid w:val="001E1B75"/>
    <w:rsid w:val="00287827"/>
    <w:rsid w:val="002C1FE9"/>
    <w:rsid w:val="003E51E8"/>
    <w:rsid w:val="005B7458"/>
    <w:rsid w:val="009B15FB"/>
    <w:rsid w:val="00AB1604"/>
    <w:rsid w:val="00D33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5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7458"/>
    <w:rPr>
      <w:color w:val="0000FF"/>
      <w:u w:val="single"/>
    </w:rPr>
  </w:style>
  <w:style w:type="character" w:customStyle="1" w:styleId="apple-converted-space">
    <w:name w:val="apple-converted-space"/>
    <w:basedOn w:val="DefaultParagraphFont"/>
    <w:rsid w:val="005B7458"/>
  </w:style>
  <w:style w:type="table" w:styleId="TableGrid">
    <w:name w:val="Table Grid"/>
    <w:basedOn w:val="TableNormal"/>
    <w:uiPriority w:val="59"/>
    <w:rsid w:val="005B74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5B7458"/>
    <w:pPr>
      <w:jc w:val="center"/>
    </w:pPr>
    <w:rPr>
      <w:szCs w:val="24"/>
    </w:rPr>
  </w:style>
  <w:style w:type="character" w:customStyle="1" w:styleId="TitleChar">
    <w:name w:val="Title Char"/>
    <w:basedOn w:val="DefaultParagraphFont"/>
    <w:link w:val="Title"/>
    <w:rsid w:val="005B7458"/>
    <w:rPr>
      <w:rFonts w:ascii="Times New Roman" w:eastAsia="Times New Roman" w:hAnsi="Times New Roman" w:cs="Times New Roman"/>
      <w:sz w:val="28"/>
      <w:szCs w:val="24"/>
    </w:rPr>
  </w:style>
  <w:style w:type="paragraph" w:styleId="ListParagraph">
    <w:name w:val="List Paragraph"/>
    <w:basedOn w:val="Normal"/>
    <w:uiPriority w:val="34"/>
    <w:qFormat/>
    <w:rsid w:val="005B7458"/>
    <w:pPr>
      <w:ind w:left="720"/>
      <w:contextualSpacing/>
    </w:pPr>
  </w:style>
  <w:style w:type="paragraph" w:styleId="Header">
    <w:name w:val="header"/>
    <w:basedOn w:val="Normal"/>
    <w:link w:val="HeaderChar"/>
    <w:uiPriority w:val="99"/>
    <w:semiHidden/>
    <w:unhideWhenUsed/>
    <w:rsid w:val="003E51E8"/>
    <w:pPr>
      <w:tabs>
        <w:tab w:val="center" w:pos="4680"/>
        <w:tab w:val="right" w:pos="9360"/>
      </w:tabs>
    </w:pPr>
  </w:style>
  <w:style w:type="character" w:customStyle="1" w:styleId="HeaderChar">
    <w:name w:val="Header Char"/>
    <w:basedOn w:val="DefaultParagraphFont"/>
    <w:link w:val="Header"/>
    <w:uiPriority w:val="99"/>
    <w:semiHidden/>
    <w:rsid w:val="003E51E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E51E8"/>
    <w:pPr>
      <w:tabs>
        <w:tab w:val="center" w:pos="4680"/>
        <w:tab w:val="right" w:pos="9360"/>
      </w:tabs>
    </w:pPr>
  </w:style>
  <w:style w:type="character" w:customStyle="1" w:styleId="FooterChar">
    <w:name w:val="Footer Char"/>
    <w:basedOn w:val="DefaultParagraphFont"/>
    <w:link w:val="Footer"/>
    <w:uiPriority w:val="99"/>
    <w:rsid w:val="003E51E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2018-11-30T01:34:00Z</dcterms:created>
  <dcterms:modified xsi:type="dcterms:W3CDTF">2018-11-30T01:39:00Z</dcterms:modified>
</cp:coreProperties>
</file>