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5"/>
        <w:gridCol w:w="5913"/>
      </w:tblGrid>
      <w:tr w:rsidR="00FD79E1" w:rsidRPr="00B35AB0" w:rsidTr="00A0534C">
        <w:trPr>
          <w:trHeight w:hRule="exact" w:val="946"/>
        </w:trPr>
        <w:tc>
          <w:tcPr>
            <w:tcW w:w="1844" w:type="pct"/>
            <w:tcBorders>
              <w:top w:val="nil"/>
              <w:left w:val="nil"/>
              <w:bottom w:val="nil"/>
              <w:right w:val="nil"/>
            </w:tcBorders>
            <w:shd w:val="clear" w:color="auto" w:fill="auto"/>
          </w:tcPr>
          <w:p w:rsidR="00FD79E1" w:rsidRPr="00B35AB0" w:rsidRDefault="00FD79E1" w:rsidP="00A0534C">
            <w:pPr>
              <w:spacing w:before="60"/>
              <w:jc w:val="center"/>
              <w:rPr>
                <w:b/>
                <w:color w:val="000000"/>
                <w:sz w:val="26"/>
              </w:rPr>
            </w:pPr>
            <w:r w:rsidRPr="00B35AB0">
              <w:rPr>
                <w:b/>
                <w:color w:val="000000"/>
                <w:sz w:val="26"/>
              </w:rPr>
              <w:t>HỘI ĐỒNG NHÂN DÂN</w:t>
            </w:r>
          </w:p>
          <w:p w:rsidR="00FD79E1" w:rsidRPr="00EA0445" w:rsidRDefault="00FD79E1" w:rsidP="00A0534C">
            <w:pPr>
              <w:jc w:val="center"/>
              <w:rPr>
                <w:b/>
                <w:color w:val="000000"/>
                <w:sz w:val="26"/>
              </w:rPr>
            </w:pPr>
            <w:r w:rsidRPr="00177B0D">
              <w:rPr>
                <w:color w:val="000000"/>
                <w:sz w:val="26"/>
              </w:rPr>
              <w:pict>
                <v:line id="_x0000_s1026" style="position:absolute;left:0;text-align:left;z-index:251660288;mso-position-horizontal:center;mso-position-horizontal-relative:margin" from="0,17.25pt" to="46.9pt,17.25pt" strokecolor="#002060">
                  <w10:wrap anchorx="margin"/>
                </v:line>
              </w:pict>
            </w:r>
            <w:r>
              <w:rPr>
                <w:b/>
                <w:color w:val="000000"/>
                <w:sz w:val="26"/>
              </w:rPr>
              <w:t>HUYỆN SA THẦY</w:t>
            </w:r>
          </w:p>
        </w:tc>
        <w:tc>
          <w:tcPr>
            <w:tcW w:w="3156" w:type="pct"/>
            <w:tcBorders>
              <w:top w:val="nil"/>
              <w:left w:val="nil"/>
              <w:bottom w:val="nil"/>
              <w:right w:val="nil"/>
            </w:tcBorders>
            <w:shd w:val="clear" w:color="auto" w:fill="auto"/>
          </w:tcPr>
          <w:p w:rsidR="00FD79E1" w:rsidRPr="00B35AB0" w:rsidRDefault="00FD79E1" w:rsidP="00A0534C">
            <w:pPr>
              <w:spacing w:before="60"/>
              <w:jc w:val="center"/>
              <w:rPr>
                <w:b/>
                <w:color w:val="000000"/>
                <w:sz w:val="26"/>
              </w:rPr>
            </w:pPr>
            <w:r w:rsidRPr="00B35AB0">
              <w:rPr>
                <w:b/>
                <w:color w:val="000000"/>
                <w:sz w:val="26"/>
              </w:rPr>
              <w:t>CỘNG HÒA XÃ HỘI CHỦ NGHĨA VIỆT NAM</w:t>
            </w:r>
          </w:p>
          <w:p w:rsidR="00FD79E1" w:rsidRPr="00B35AB0" w:rsidRDefault="00FD79E1" w:rsidP="00A0534C">
            <w:pPr>
              <w:jc w:val="center"/>
              <w:rPr>
                <w:b/>
                <w:color w:val="000000"/>
                <w:sz w:val="26"/>
              </w:rPr>
            </w:pPr>
            <w:r w:rsidRPr="00177B0D">
              <w:rPr>
                <w:b/>
                <w:color w:val="000000"/>
              </w:rPr>
              <w:pict>
                <v:line id="_x0000_s1027" style="position:absolute;left:0;text-align:left;z-index:251661312;mso-position-horizontal:center;mso-position-horizontal-relative:margin" from="0,16.85pt" to="170.1pt,16.85pt" strokecolor="#002060">
                  <w10:wrap anchorx="margin"/>
                </v:line>
              </w:pict>
            </w:r>
            <w:r w:rsidRPr="00B35AB0">
              <w:rPr>
                <w:b/>
                <w:color w:val="000000"/>
              </w:rPr>
              <w:t>Độc lập - Tự do - Hạnh phúc</w:t>
            </w:r>
          </w:p>
        </w:tc>
      </w:tr>
      <w:tr w:rsidR="00FD79E1" w:rsidRPr="00B35AB0" w:rsidTr="00A05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3"/>
        </w:trPr>
        <w:tc>
          <w:tcPr>
            <w:tcW w:w="1844" w:type="pct"/>
            <w:shd w:val="clear" w:color="auto" w:fill="auto"/>
          </w:tcPr>
          <w:p w:rsidR="00FD79E1" w:rsidRPr="00EA0445" w:rsidRDefault="00FD79E1" w:rsidP="00A0534C">
            <w:pPr>
              <w:jc w:val="center"/>
              <w:rPr>
                <w:i/>
                <w:color w:val="000000"/>
              </w:rPr>
            </w:pPr>
            <w:r w:rsidRPr="00B35AB0">
              <w:rPr>
                <w:color w:val="000000"/>
              </w:rPr>
              <w:t>Số:</w:t>
            </w:r>
            <w:r>
              <w:rPr>
                <w:color w:val="000000"/>
              </w:rPr>
              <w:t xml:space="preserve"> 58/B</w:t>
            </w:r>
            <w:r w:rsidRPr="00B35AB0">
              <w:rPr>
                <w:color w:val="000000"/>
              </w:rPr>
              <w:t>C-</w:t>
            </w:r>
            <w:r>
              <w:rPr>
                <w:color w:val="000000"/>
              </w:rPr>
              <w:t>BKTXH</w:t>
            </w:r>
          </w:p>
        </w:tc>
        <w:tc>
          <w:tcPr>
            <w:tcW w:w="3156" w:type="pct"/>
            <w:shd w:val="clear" w:color="auto" w:fill="auto"/>
          </w:tcPr>
          <w:p w:rsidR="00FD79E1" w:rsidRPr="00B35AB0" w:rsidRDefault="00FD79E1" w:rsidP="00A0534C">
            <w:pPr>
              <w:jc w:val="center"/>
              <w:rPr>
                <w:i/>
                <w:color w:val="000000"/>
              </w:rPr>
            </w:pPr>
            <w:r>
              <w:rPr>
                <w:i/>
                <w:color w:val="000000"/>
              </w:rPr>
              <w:t>Sa Thầy</w:t>
            </w:r>
            <w:r w:rsidRPr="00B35AB0">
              <w:rPr>
                <w:i/>
                <w:color w:val="000000"/>
              </w:rPr>
              <w:t xml:space="preserve">, ngày </w:t>
            </w:r>
            <w:r>
              <w:rPr>
                <w:i/>
                <w:color w:val="000000"/>
              </w:rPr>
              <w:t>16</w:t>
            </w:r>
            <w:r w:rsidRPr="00B35AB0">
              <w:rPr>
                <w:i/>
                <w:color w:val="000000"/>
              </w:rPr>
              <w:t xml:space="preserve"> </w:t>
            </w:r>
            <w:r>
              <w:rPr>
                <w:i/>
                <w:color w:val="000000"/>
              </w:rPr>
              <w:t xml:space="preserve">tháng </w:t>
            </w:r>
            <w:r w:rsidRPr="00B35AB0">
              <w:rPr>
                <w:i/>
                <w:color w:val="000000"/>
              </w:rPr>
              <w:t>12 năm 2016</w:t>
            </w:r>
          </w:p>
        </w:tc>
      </w:tr>
    </w:tbl>
    <w:p w:rsidR="00FD79E1" w:rsidRDefault="00FD79E1" w:rsidP="00FD79E1">
      <w:pPr>
        <w:jc w:val="center"/>
        <w:rPr>
          <w:b/>
          <w:color w:val="000000"/>
        </w:rPr>
      </w:pPr>
    </w:p>
    <w:p w:rsidR="00FD79E1" w:rsidRPr="00AE2DFE" w:rsidRDefault="00FD79E1" w:rsidP="00FD79E1">
      <w:pPr>
        <w:jc w:val="center"/>
        <w:rPr>
          <w:b/>
          <w:color w:val="000000"/>
          <w:szCs w:val="28"/>
        </w:rPr>
      </w:pPr>
      <w:r w:rsidRPr="00AE2DFE">
        <w:rPr>
          <w:b/>
          <w:color w:val="000000"/>
          <w:szCs w:val="28"/>
        </w:rPr>
        <w:t>BÁO CÁO THẨM TRA</w:t>
      </w:r>
    </w:p>
    <w:p w:rsidR="00FD79E1" w:rsidRPr="00AE2DFE" w:rsidRDefault="00FD79E1" w:rsidP="00FD79E1">
      <w:pPr>
        <w:jc w:val="center"/>
        <w:rPr>
          <w:b/>
          <w:color w:val="000000"/>
          <w:szCs w:val="28"/>
        </w:rPr>
      </w:pPr>
      <w:r w:rsidRPr="00AE2DFE">
        <w:rPr>
          <w:b/>
          <w:color w:val="000000"/>
          <w:szCs w:val="28"/>
        </w:rPr>
        <w:t xml:space="preserve">Dự thảo Nghị quyết về phê duyệt </w:t>
      </w:r>
    </w:p>
    <w:p w:rsidR="00FD79E1" w:rsidRPr="00AE2DFE" w:rsidRDefault="00FD79E1" w:rsidP="00FD79E1">
      <w:pPr>
        <w:jc w:val="center"/>
        <w:rPr>
          <w:b/>
          <w:color w:val="000000"/>
          <w:szCs w:val="28"/>
        </w:rPr>
      </w:pPr>
      <w:r w:rsidRPr="00AE2DFE">
        <w:rPr>
          <w:b/>
          <w:color w:val="000000"/>
          <w:szCs w:val="28"/>
        </w:rPr>
        <w:t>Kế hoạch đầu tư công năm 2017 huyện Sa Thầy</w:t>
      </w:r>
    </w:p>
    <w:p w:rsidR="00FD79E1" w:rsidRPr="00AE2DFE" w:rsidRDefault="00FD79E1" w:rsidP="00FD79E1">
      <w:pPr>
        <w:widowControl w:val="0"/>
        <w:spacing w:before="120" w:after="120" w:line="330" w:lineRule="exact"/>
        <w:ind w:firstLine="720"/>
        <w:rPr>
          <w:color w:val="000000"/>
          <w:szCs w:val="28"/>
        </w:rPr>
      </w:pPr>
      <w:r w:rsidRPr="00AE2DFE">
        <w:rPr>
          <w:color w:val="000000"/>
          <w:szCs w:val="28"/>
        </w:rPr>
        <w:pict>
          <v:shapetype id="_x0000_t32" coordsize="21600,21600" o:spt="32" o:oned="t" path="m,l21600,21600e" filled="f">
            <v:path arrowok="t" fillok="f" o:connecttype="none"/>
            <o:lock v:ext="edit" shapetype="t"/>
          </v:shapetype>
          <v:shape id="_x0000_s1028" type="#_x0000_t32" style="position:absolute;left:0;text-align:left;margin-left:189.65pt;margin-top:1.6pt;width:87pt;height:0;z-index:251662336;mso-position-horizontal-relative:margin" o:connectortype="straight">
            <w10:wrap anchorx="margin"/>
          </v:shape>
        </w:pict>
      </w:r>
    </w:p>
    <w:p w:rsidR="00FD79E1" w:rsidRPr="00AE2DFE" w:rsidRDefault="00FD79E1" w:rsidP="00FD79E1">
      <w:pPr>
        <w:widowControl w:val="0"/>
        <w:spacing w:before="60" w:after="60"/>
        <w:ind w:firstLine="709"/>
        <w:jc w:val="both"/>
        <w:rPr>
          <w:color w:val="auto"/>
          <w:szCs w:val="28"/>
        </w:rPr>
      </w:pPr>
      <w:r w:rsidRPr="00AE2DFE">
        <w:rPr>
          <w:color w:val="auto"/>
          <w:szCs w:val="28"/>
        </w:rPr>
        <w:t>Căn cứ Luật Tổ chức chính quyền địa phương năm 2015; Luật Hoạt động giám sát của Quốc hội và Hội đồng nhân dân năm 2015; Luật Ban hành văn bản quy phạm pháp luật năm 2015;</w:t>
      </w:r>
    </w:p>
    <w:p w:rsidR="00FD79E1" w:rsidRPr="00AE2DFE" w:rsidRDefault="00FD79E1" w:rsidP="00FD79E1">
      <w:pPr>
        <w:spacing w:before="60" w:after="60"/>
        <w:ind w:firstLine="709"/>
        <w:jc w:val="both"/>
        <w:rPr>
          <w:color w:val="auto"/>
          <w:szCs w:val="28"/>
        </w:rPr>
      </w:pPr>
      <w:r w:rsidRPr="00AE2DFE">
        <w:rPr>
          <w:color w:val="auto"/>
          <w:szCs w:val="28"/>
        </w:rPr>
        <w:t>Thực hiện sự phân công của Thường trực Hội đồng nhân dân huyện tại Công văn số 64/HĐND-TH ngày 12/10/2016, trên cơ sở Tờ trình số 327/TTr-UBND ngày 13/12/2016 của UBND huyện về việc đề nghị phê duyệt kế hoạch đầu tư công năm 2017. Ban Kinh tế - Xã hội đã tổ chức thẩm tra về nội dung trên, tham dự cuộc họp có lãnh đạo các Ban Hội đồng nhân dân huyện; các cơ quan liên quan. Ban Kinh tế - Xã hội xin báo cáo Hội đồng nhân dân huyện một số nội dung sau:</w:t>
      </w:r>
    </w:p>
    <w:p w:rsidR="00FD79E1" w:rsidRPr="00AE2DFE" w:rsidRDefault="00FD79E1" w:rsidP="00FD79E1">
      <w:pPr>
        <w:spacing w:before="60" w:after="60"/>
        <w:ind w:firstLine="709"/>
        <w:jc w:val="both"/>
        <w:rPr>
          <w:b/>
          <w:color w:val="auto"/>
          <w:szCs w:val="28"/>
        </w:rPr>
      </w:pPr>
      <w:r w:rsidRPr="00AE2DFE">
        <w:rPr>
          <w:b/>
          <w:color w:val="auto"/>
          <w:szCs w:val="28"/>
        </w:rPr>
        <w:t>I. Nội dung của dự thảo Nghị quyết</w:t>
      </w:r>
    </w:p>
    <w:p w:rsidR="00FD79E1" w:rsidRPr="00AE2DFE" w:rsidRDefault="00FD79E1" w:rsidP="00FD79E1">
      <w:pPr>
        <w:pStyle w:val="041"/>
        <w:widowControl w:val="0"/>
        <w:spacing w:before="60" w:after="60" w:line="240" w:lineRule="auto"/>
        <w:ind w:firstLine="709"/>
        <w:rPr>
          <w:b/>
          <w:noProof/>
          <w:szCs w:val="28"/>
          <w:lang w:val="vi-VN"/>
        </w:rPr>
      </w:pPr>
      <w:r w:rsidRPr="00AE2DFE">
        <w:rPr>
          <w:b/>
          <w:noProof/>
          <w:szCs w:val="28"/>
          <w:lang w:val="vi-VN"/>
        </w:rPr>
        <w:t>1. Về tình hình thực hiện Kế hoạch đầu tư công năm 2016</w:t>
      </w:r>
    </w:p>
    <w:p w:rsidR="00FD79E1" w:rsidRPr="00AE2DFE" w:rsidRDefault="00FD79E1" w:rsidP="00FD79E1">
      <w:pPr>
        <w:pStyle w:val="041"/>
        <w:widowControl w:val="0"/>
        <w:spacing w:before="60" w:after="60" w:line="240" w:lineRule="auto"/>
        <w:ind w:firstLine="709"/>
        <w:rPr>
          <w:noProof/>
          <w:szCs w:val="28"/>
          <w:lang w:val="vi-VN"/>
        </w:rPr>
      </w:pPr>
      <w:r w:rsidRPr="00AE2DFE">
        <w:rPr>
          <w:noProof/>
          <w:szCs w:val="28"/>
          <w:lang w:val="vi-VN"/>
        </w:rPr>
        <w:t xml:space="preserve">Ban Kinh tế - </w:t>
      </w:r>
      <w:r w:rsidRPr="00AE2DFE">
        <w:rPr>
          <w:noProof/>
          <w:szCs w:val="28"/>
        </w:rPr>
        <w:t>Xã hội</w:t>
      </w:r>
      <w:r w:rsidRPr="00AE2DFE">
        <w:rPr>
          <w:noProof/>
          <w:szCs w:val="28"/>
          <w:lang w:val="vi-VN"/>
        </w:rPr>
        <w:t xml:space="preserve"> cơ bản nhất trí với báo cáo đánh giá kết quả thực hiện kế hoạch đầu tư công năm 2016 của </w:t>
      </w:r>
      <w:r w:rsidRPr="00AE2DFE">
        <w:rPr>
          <w:noProof/>
          <w:szCs w:val="28"/>
        </w:rPr>
        <w:t>UBND huyện</w:t>
      </w:r>
      <w:r w:rsidRPr="00AE2DFE">
        <w:rPr>
          <w:noProof/>
          <w:szCs w:val="28"/>
          <w:lang w:val="vi-VN"/>
        </w:rPr>
        <w:t xml:space="preserve">, cụ thể: Tổng kế hoạch vốn đầu tư công trong năm 2016 </w:t>
      </w:r>
      <w:r w:rsidRPr="00AE2DFE">
        <w:rPr>
          <w:noProof/>
          <w:szCs w:val="28"/>
        </w:rPr>
        <w:t>huyện quản lý</w:t>
      </w:r>
      <w:r w:rsidRPr="00AE2DFE">
        <w:rPr>
          <w:noProof/>
          <w:szCs w:val="28"/>
          <w:lang w:val="vi-VN"/>
        </w:rPr>
        <w:t xml:space="preserve"> là </w:t>
      </w:r>
      <w:r w:rsidRPr="00AE2DFE">
        <w:rPr>
          <w:szCs w:val="28"/>
          <w:lang w:val="nl-NL"/>
        </w:rPr>
        <w:t>35.200 triệu đồng, trong đó: thuộc kế hoạch năm 2016 là 32.014 triệu đồng và thuộc kế hoạch năm 2015 kéo dài thời gian thực hiện sang năm 2016 là 3.185 triệu đồng.</w:t>
      </w:r>
    </w:p>
    <w:p w:rsidR="00FD79E1" w:rsidRPr="00AE2DFE" w:rsidRDefault="00FD79E1" w:rsidP="00FD79E1">
      <w:pPr>
        <w:pStyle w:val="041"/>
        <w:widowControl w:val="0"/>
        <w:spacing w:before="60" w:after="60" w:line="240" w:lineRule="auto"/>
        <w:ind w:firstLine="709"/>
        <w:rPr>
          <w:noProof/>
          <w:szCs w:val="28"/>
          <w:lang w:val="vi-VN"/>
        </w:rPr>
      </w:pPr>
      <w:r w:rsidRPr="00AE2DFE">
        <w:rPr>
          <w:noProof/>
          <w:szCs w:val="28"/>
          <w:lang w:val="vi-VN"/>
        </w:rPr>
        <w:t>Đến 30/</w:t>
      </w:r>
      <w:r w:rsidRPr="00AE2DFE">
        <w:rPr>
          <w:noProof/>
          <w:szCs w:val="28"/>
        </w:rPr>
        <w:t>11</w:t>
      </w:r>
      <w:r w:rsidRPr="00AE2DFE">
        <w:rPr>
          <w:noProof/>
          <w:szCs w:val="28"/>
          <w:lang w:val="vi-VN"/>
        </w:rPr>
        <w:t xml:space="preserve">/2016, đã thực hiện giải ngân </w:t>
      </w:r>
      <w:r w:rsidRPr="00AE2DFE">
        <w:rPr>
          <w:noProof/>
          <w:szCs w:val="28"/>
        </w:rPr>
        <w:t>23.548</w:t>
      </w:r>
      <w:r w:rsidRPr="00AE2DFE">
        <w:rPr>
          <w:b/>
          <w:noProof/>
          <w:szCs w:val="28"/>
          <w:lang w:val="vi-VN"/>
        </w:rPr>
        <w:t xml:space="preserve"> </w:t>
      </w:r>
      <w:r w:rsidRPr="00AE2DFE">
        <w:rPr>
          <w:noProof/>
          <w:szCs w:val="28"/>
          <w:lang w:val="vi-VN"/>
        </w:rPr>
        <w:t xml:space="preserve">triệu đồng, đạt </w:t>
      </w:r>
      <w:r w:rsidRPr="00AE2DFE">
        <w:rPr>
          <w:noProof/>
          <w:szCs w:val="28"/>
        </w:rPr>
        <w:t>66,9</w:t>
      </w:r>
      <w:r w:rsidRPr="00AE2DFE">
        <w:rPr>
          <w:noProof/>
          <w:szCs w:val="28"/>
          <w:lang w:val="vi-VN"/>
        </w:rPr>
        <w:t xml:space="preserve">% so với kế hoạch giao. Trong đó: Vốn </w:t>
      </w:r>
      <w:r w:rsidRPr="00AE2DFE">
        <w:rPr>
          <w:noProof/>
          <w:szCs w:val="28"/>
        </w:rPr>
        <w:t xml:space="preserve">đầu tư </w:t>
      </w:r>
      <w:r w:rsidRPr="00AE2DFE">
        <w:rPr>
          <w:noProof/>
          <w:szCs w:val="28"/>
          <w:lang w:val="vi-VN"/>
        </w:rPr>
        <w:t>cân đối ngân sách địa phương</w:t>
      </w:r>
      <w:r w:rsidRPr="00AE2DFE">
        <w:rPr>
          <w:noProof/>
          <w:szCs w:val="28"/>
        </w:rPr>
        <w:t xml:space="preserve"> theo tiêu chí</w:t>
      </w:r>
      <w:r w:rsidRPr="00AE2DFE">
        <w:rPr>
          <w:noProof/>
          <w:szCs w:val="28"/>
          <w:lang w:val="vi-VN"/>
        </w:rPr>
        <w:t xml:space="preserve"> </w:t>
      </w:r>
      <w:r w:rsidRPr="00AE2DFE">
        <w:rPr>
          <w:noProof/>
          <w:szCs w:val="28"/>
        </w:rPr>
        <w:t>12.092</w:t>
      </w:r>
      <w:r w:rsidRPr="00AE2DFE">
        <w:rPr>
          <w:noProof/>
          <w:szCs w:val="28"/>
          <w:lang w:val="vi-VN"/>
        </w:rPr>
        <w:t xml:space="preserve"> triệu đồng, đạt </w:t>
      </w:r>
      <w:r w:rsidRPr="00AE2DFE">
        <w:rPr>
          <w:noProof/>
          <w:szCs w:val="28"/>
        </w:rPr>
        <w:t>70,26</w:t>
      </w:r>
      <w:r w:rsidRPr="00AE2DFE">
        <w:rPr>
          <w:noProof/>
          <w:szCs w:val="28"/>
          <w:lang w:val="vi-VN"/>
        </w:rPr>
        <w:t xml:space="preserve">% so với kế hoạch; </w:t>
      </w:r>
      <w:r w:rsidRPr="00AE2DFE">
        <w:rPr>
          <w:noProof/>
          <w:szCs w:val="28"/>
        </w:rPr>
        <w:t>thu tiền sử dụng đất</w:t>
      </w:r>
      <w:r w:rsidRPr="00AE2DFE">
        <w:rPr>
          <w:noProof/>
          <w:szCs w:val="28"/>
          <w:lang w:val="vi-VN"/>
        </w:rPr>
        <w:t xml:space="preserve"> là </w:t>
      </w:r>
      <w:r w:rsidRPr="00AE2DFE">
        <w:rPr>
          <w:noProof/>
          <w:szCs w:val="28"/>
        </w:rPr>
        <w:t>471</w:t>
      </w:r>
      <w:r w:rsidRPr="00AE2DFE">
        <w:rPr>
          <w:noProof/>
          <w:szCs w:val="28"/>
          <w:lang w:val="vi-VN"/>
        </w:rPr>
        <w:t xml:space="preserve"> triệu đồng, đạt </w:t>
      </w:r>
      <w:r w:rsidRPr="00AE2DFE">
        <w:rPr>
          <w:noProof/>
          <w:szCs w:val="28"/>
        </w:rPr>
        <w:t xml:space="preserve">15,08 </w:t>
      </w:r>
      <w:r w:rsidRPr="00AE2DFE">
        <w:rPr>
          <w:noProof/>
          <w:szCs w:val="28"/>
          <w:lang w:val="vi-VN"/>
        </w:rPr>
        <w:t>% kế hoạch (</w:t>
      </w:r>
      <w:r w:rsidRPr="00AE2DFE">
        <w:rPr>
          <w:i/>
          <w:noProof/>
          <w:szCs w:val="28"/>
        </w:rPr>
        <w:t>do điều chỉnh KH vốn năm 2016</w:t>
      </w:r>
      <w:r w:rsidRPr="00AE2DFE">
        <w:rPr>
          <w:noProof/>
          <w:szCs w:val="28"/>
          <w:lang w:val="vi-VN"/>
        </w:rPr>
        <w:t xml:space="preserve">); </w:t>
      </w:r>
      <w:r w:rsidRPr="00AE2DFE">
        <w:rPr>
          <w:noProof/>
          <w:szCs w:val="28"/>
        </w:rPr>
        <w:t>thu xổ số kiến thiết</w:t>
      </w:r>
      <w:r w:rsidRPr="00AE2DFE">
        <w:rPr>
          <w:noProof/>
          <w:szCs w:val="28"/>
          <w:lang w:val="vi-VN"/>
        </w:rPr>
        <w:t xml:space="preserve"> là </w:t>
      </w:r>
      <w:r w:rsidRPr="00AE2DFE">
        <w:rPr>
          <w:noProof/>
          <w:szCs w:val="28"/>
        </w:rPr>
        <w:t>1.095</w:t>
      </w:r>
      <w:r w:rsidRPr="00AE2DFE">
        <w:rPr>
          <w:noProof/>
          <w:szCs w:val="28"/>
          <w:lang w:val="vi-VN"/>
        </w:rPr>
        <w:t xml:space="preserve"> triệu đồng, đạt </w:t>
      </w:r>
      <w:r w:rsidRPr="00AE2DFE">
        <w:rPr>
          <w:noProof/>
          <w:szCs w:val="28"/>
        </w:rPr>
        <w:t>54,73</w:t>
      </w:r>
      <w:r w:rsidRPr="00AE2DFE">
        <w:rPr>
          <w:noProof/>
          <w:szCs w:val="28"/>
          <w:lang w:val="vi-VN"/>
        </w:rPr>
        <w:t xml:space="preserve">% kế hoạch; </w:t>
      </w:r>
      <w:r w:rsidRPr="00AE2DFE">
        <w:rPr>
          <w:noProof/>
          <w:szCs w:val="28"/>
        </w:rPr>
        <w:t>Nguồn kết dư ngân sách</w:t>
      </w:r>
      <w:r w:rsidRPr="00AE2DFE">
        <w:rPr>
          <w:noProof/>
          <w:szCs w:val="28"/>
          <w:lang w:val="vi-VN"/>
        </w:rPr>
        <w:t xml:space="preserve"> là </w:t>
      </w:r>
      <w:r w:rsidRPr="00AE2DFE">
        <w:rPr>
          <w:noProof/>
          <w:szCs w:val="28"/>
        </w:rPr>
        <w:t>8.749</w:t>
      </w:r>
      <w:r w:rsidRPr="00AE2DFE">
        <w:rPr>
          <w:noProof/>
          <w:szCs w:val="28"/>
          <w:lang w:val="vi-VN"/>
        </w:rPr>
        <w:t xml:space="preserve"> triệu đồng, đạt </w:t>
      </w:r>
      <w:r w:rsidRPr="00AE2DFE">
        <w:rPr>
          <w:noProof/>
          <w:szCs w:val="28"/>
        </w:rPr>
        <w:t>88,36</w:t>
      </w:r>
      <w:r w:rsidRPr="00AE2DFE">
        <w:rPr>
          <w:noProof/>
          <w:szCs w:val="28"/>
          <w:lang w:val="vi-VN"/>
        </w:rPr>
        <w:t xml:space="preserve">% kế hoạch; </w:t>
      </w:r>
      <w:r w:rsidRPr="00AE2DFE">
        <w:rPr>
          <w:noProof/>
          <w:szCs w:val="28"/>
        </w:rPr>
        <w:t>Dự phòng ngân sách huyện</w:t>
      </w:r>
      <w:r w:rsidRPr="00AE2DFE">
        <w:rPr>
          <w:noProof/>
          <w:szCs w:val="28"/>
          <w:lang w:val="vi-VN"/>
        </w:rPr>
        <w:t xml:space="preserve"> là </w:t>
      </w:r>
      <w:r w:rsidRPr="00AE2DFE">
        <w:rPr>
          <w:noProof/>
          <w:szCs w:val="28"/>
        </w:rPr>
        <w:t>1.141</w:t>
      </w:r>
      <w:r w:rsidRPr="00AE2DFE">
        <w:rPr>
          <w:noProof/>
          <w:szCs w:val="28"/>
          <w:lang w:val="vi-VN"/>
        </w:rPr>
        <w:t xml:space="preserve"> triệu đồng, đạt </w:t>
      </w:r>
      <w:r w:rsidRPr="00AE2DFE">
        <w:rPr>
          <w:noProof/>
          <w:szCs w:val="28"/>
        </w:rPr>
        <w:t>38,5%</w:t>
      </w:r>
      <w:r w:rsidRPr="00AE2DFE">
        <w:rPr>
          <w:noProof/>
          <w:szCs w:val="28"/>
          <w:lang w:val="vi-VN"/>
        </w:rPr>
        <w:t>.</w:t>
      </w:r>
    </w:p>
    <w:p w:rsidR="00FD79E1" w:rsidRPr="00AE2DFE" w:rsidRDefault="00FD79E1" w:rsidP="00FD79E1">
      <w:pPr>
        <w:widowControl w:val="0"/>
        <w:spacing w:before="60" w:after="60"/>
        <w:ind w:firstLine="709"/>
        <w:jc w:val="both"/>
        <w:rPr>
          <w:bCs/>
          <w:color w:val="auto"/>
          <w:szCs w:val="28"/>
        </w:rPr>
      </w:pPr>
      <w:r w:rsidRPr="00AE2DFE">
        <w:rPr>
          <w:b/>
          <w:color w:val="auto"/>
          <w:szCs w:val="28"/>
        </w:rPr>
        <w:t xml:space="preserve">* Tình hình xử lý nợ đọng xây dựng cơ bản: </w:t>
      </w:r>
      <w:r w:rsidRPr="00AE2DFE">
        <w:rPr>
          <w:bCs/>
          <w:color w:val="auto"/>
          <w:szCs w:val="28"/>
        </w:rPr>
        <w:t xml:space="preserve">Tổng số nợ đọng xây dựng cơ bản tính đến hết ngày 31/12/2014 là 27.394 triệu đồng, trong đó: đã bố trí để xử lý nợ đọng trong các năm 2015 và 2016 là 20.073 triệu đồng; số nợ còn lại chưa xử lý là 7.321 triệu đồng. </w:t>
      </w:r>
    </w:p>
    <w:p w:rsidR="00FD79E1" w:rsidRPr="00AE2DFE" w:rsidRDefault="00FD79E1" w:rsidP="00FD79E1">
      <w:pPr>
        <w:widowControl w:val="0"/>
        <w:spacing w:before="60" w:after="60"/>
        <w:ind w:firstLine="709"/>
        <w:jc w:val="both"/>
        <w:rPr>
          <w:color w:val="auto"/>
          <w:szCs w:val="28"/>
        </w:rPr>
      </w:pPr>
      <w:r w:rsidRPr="00AE2DFE">
        <w:rPr>
          <w:color w:val="auto"/>
          <w:szCs w:val="28"/>
        </w:rPr>
        <w:t xml:space="preserve">* Qua phân tích, đánh giá kết quả triển khai thực hiện Kế hoạch đầu tư công 2016, Ban Kinh tế - Xã hội cơ bản thống nhất với đánh giá của UBND huyện, cụ thể: </w:t>
      </w:r>
      <w:r w:rsidRPr="00AE2DFE">
        <w:rPr>
          <w:color w:val="auto"/>
          <w:szCs w:val="28"/>
          <w:lang w:val="af-ZA"/>
        </w:rPr>
        <w:t xml:space="preserve">Cơ chế chính sách về quản lý đầu tư xây dựng cơ bản có nhiều thay đổi, song việc sửa đổi bổ sung chậm được ban hành dẫn đến chậm trễ trong đầu tư, giải ngân vốn. Trung ương chậm phân bổ kinh phí nên địa phương không có cơ sở triển khai thực hiện, bị động trong quá trình hoàn chỉnh thủ tục đầu tư. Việc phối hợp thực </w:t>
      </w:r>
      <w:r w:rsidRPr="00AE2DFE">
        <w:rPr>
          <w:color w:val="auto"/>
          <w:szCs w:val="28"/>
          <w:lang w:val="af-ZA"/>
        </w:rPr>
        <w:lastRenderedPageBreak/>
        <w:t>hiện công tác bồi thường, giải phóng mặt bằng chưa tốt, gây chậm trễ trong việc triển khai dự án, nảy sinh đơn thư khiếu nại, tố cáo. Chất lượng một số công trình còn kém; còn sai sót trong quản lý đầu tư</w:t>
      </w:r>
      <w:r w:rsidRPr="00AE2DFE">
        <w:rPr>
          <w:color w:val="auto"/>
          <w:szCs w:val="28"/>
        </w:rPr>
        <w:t>... ảnh hưởng đến kết quả thực hiện kế hoạch đầu tư công năm 2016. Ban đề nghị UBND huyện cần có giải pháp quyết liệt, chỉ đạo khắc phục những khó khăn, vướng mắc, tồn tại hạn chế xuất phát từ những nguyên nhân chủ quan nêu trên nhằm đảm bảo thực hiện tốt kế hoạch đầu tư công năm 2017.</w:t>
      </w:r>
    </w:p>
    <w:p w:rsidR="00FD79E1" w:rsidRPr="00AE2DFE" w:rsidRDefault="00FD79E1" w:rsidP="00FD79E1">
      <w:pPr>
        <w:tabs>
          <w:tab w:val="left" w:pos="6757"/>
        </w:tabs>
        <w:spacing w:before="60" w:after="60"/>
        <w:ind w:firstLine="709"/>
        <w:jc w:val="both"/>
        <w:rPr>
          <w:color w:val="auto"/>
          <w:szCs w:val="28"/>
        </w:rPr>
      </w:pPr>
      <w:r w:rsidRPr="00AE2DFE">
        <w:rPr>
          <w:b/>
          <w:color w:val="auto"/>
          <w:szCs w:val="28"/>
        </w:rPr>
        <w:t>II. Về Kế hoạch đầu tư công năm 2017 huyện Sa Thầy</w:t>
      </w:r>
    </w:p>
    <w:p w:rsidR="00FD79E1" w:rsidRPr="00AE2DFE" w:rsidRDefault="00FD79E1" w:rsidP="00FD79E1">
      <w:pPr>
        <w:spacing w:before="60" w:after="60"/>
        <w:ind w:firstLine="709"/>
        <w:jc w:val="both"/>
        <w:rPr>
          <w:color w:val="auto"/>
          <w:szCs w:val="28"/>
        </w:rPr>
      </w:pPr>
      <w:r w:rsidRPr="00AE2DFE">
        <w:rPr>
          <w:color w:val="auto"/>
          <w:szCs w:val="28"/>
        </w:rPr>
        <w:t>Tổng kế hoạch vốn đầu tư công năm 2017 nguồn ngân sách địa phương được tỉnh giao là 24.819 triệu đồng. Tổng kế hoạch vốn đầu tư công năm 2017 địa phương dự kiến giao là 27.019</w:t>
      </w:r>
      <w:r w:rsidRPr="00AE2DFE">
        <w:rPr>
          <w:b/>
          <w:bCs/>
          <w:color w:val="auto"/>
          <w:szCs w:val="28"/>
        </w:rPr>
        <w:t xml:space="preserve"> </w:t>
      </w:r>
      <w:r w:rsidRPr="00AE2DFE">
        <w:rPr>
          <w:color w:val="auto"/>
          <w:szCs w:val="28"/>
        </w:rPr>
        <w:t xml:space="preserve">triệu đồng, tăng so với mức vốn được tỉnh giao là 2.200 triệu đồng </w:t>
      </w:r>
      <w:r w:rsidRPr="00AE2DFE">
        <w:rPr>
          <w:i/>
          <w:color w:val="auto"/>
          <w:szCs w:val="28"/>
        </w:rPr>
        <w:t>(nguồn thu tiền sử dụng đất)</w:t>
      </w:r>
      <w:r w:rsidRPr="00AE2DFE">
        <w:rPr>
          <w:color w:val="auto"/>
          <w:szCs w:val="28"/>
        </w:rPr>
        <w:t xml:space="preserve">. </w:t>
      </w:r>
    </w:p>
    <w:p w:rsidR="00FD79E1" w:rsidRPr="00AE2DFE" w:rsidRDefault="00FD79E1" w:rsidP="00FD79E1">
      <w:pPr>
        <w:spacing w:before="60" w:after="60"/>
        <w:ind w:firstLine="709"/>
        <w:jc w:val="both"/>
        <w:rPr>
          <w:b/>
          <w:color w:val="auto"/>
          <w:szCs w:val="28"/>
          <w:lang w:val="es-NI"/>
        </w:rPr>
      </w:pPr>
      <w:r w:rsidRPr="00AE2DFE">
        <w:rPr>
          <w:b/>
          <w:color w:val="auto"/>
          <w:szCs w:val="28"/>
        </w:rPr>
        <w:t xml:space="preserve">1. </w:t>
      </w:r>
      <w:r w:rsidRPr="00AE2DFE">
        <w:rPr>
          <w:b/>
          <w:color w:val="auto"/>
          <w:szCs w:val="28"/>
          <w:lang w:val="es-NI"/>
        </w:rPr>
        <w:t>Về nguyên tắc, tiêu chí phân bổ vốn kế hoạch đầu tư công năm 2017</w:t>
      </w:r>
    </w:p>
    <w:p w:rsidR="00FD79E1" w:rsidRPr="00AE2DFE" w:rsidRDefault="00FD79E1" w:rsidP="00FD79E1">
      <w:pPr>
        <w:spacing w:before="60" w:after="60"/>
        <w:ind w:firstLine="709"/>
        <w:jc w:val="both"/>
        <w:rPr>
          <w:color w:val="auto"/>
          <w:szCs w:val="28"/>
        </w:rPr>
      </w:pPr>
      <w:r w:rsidRPr="00AE2DFE">
        <w:rPr>
          <w:color w:val="auto"/>
          <w:szCs w:val="28"/>
        </w:rPr>
        <w:t xml:space="preserve">Ban thấy rằng UBND huyện đã chủ động phân bổ vốn theo đúng với quy định của Luật Ngân sách Nhà nước năm 2015; Luật Đầu tư công 2014; </w:t>
      </w:r>
      <w:r w:rsidRPr="00AE2DFE">
        <w:rPr>
          <w:color w:val="auto"/>
          <w:szCs w:val="28"/>
          <w:lang w:val="es-NI"/>
        </w:rPr>
        <w:t xml:space="preserve">Nghị quyết số 1023/NQ-UBTVQH13 ngày 28/8/2015 của </w:t>
      </w:r>
      <w:r w:rsidRPr="00AE2DFE">
        <w:rPr>
          <w:color w:val="auto"/>
          <w:szCs w:val="28"/>
        </w:rPr>
        <w:t>Ủy ban Thường vụ Quốc hội</w:t>
      </w:r>
      <w:r w:rsidRPr="00AE2DFE">
        <w:rPr>
          <w:color w:val="auto"/>
          <w:szCs w:val="28"/>
          <w:lang w:val="es-NI"/>
        </w:rPr>
        <w:t xml:space="preserve"> về nguyên tắc, tiêu chí và định mức phân bổ vốn đầu tư phát triển nguồn NSNN giai đoạn 2016-2020; </w:t>
      </w:r>
      <w:r w:rsidRPr="00AE2DFE">
        <w:rPr>
          <w:color w:val="auto"/>
          <w:szCs w:val="28"/>
        </w:rPr>
        <w:t xml:space="preserve">Quyết định số 40/2015/QĐ-TTg ngày 14/9/2015 của Thủ tướng Chính phủ; Nghị quyết số 24/2015/NQ-HĐND ngày 10/12/2015 của Hội đồng nhân dân tỉnh về việc ban hành nguyên tắc, tiêu chí và định mức phân bổ vốn đầu tư phát triển nguồn ngân sách Nhà nước giai đoạn 2016 - 2020 tỉnh Kon Tum; Quyết định số 1056/QĐ-UBND và 1058/QĐ-UBND ngày 09/12/2016 của UBND tỉnh Kon Tum; và các văn bản hướng dẫn khác. </w:t>
      </w:r>
    </w:p>
    <w:p w:rsidR="00FD79E1" w:rsidRPr="00AE2DFE" w:rsidRDefault="00FD79E1" w:rsidP="00FD79E1">
      <w:pPr>
        <w:spacing w:before="60" w:after="60"/>
        <w:ind w:firstLine="709"/>
        <w:jc w:val="both"/>
        <w:rPr>
          <w:b/>
          <w:color w:val="auto"/>
          <w:szCs w:val="28"/>
          <w:lang w:val="af-ZA"/>
        </w:rPr>
      </w:pPr>
      <w:r w:rsidRPr="00AE2DFE">
        <w:rPr>
          <w:b/>
          <w:color w:val="auto"/>
          <w:szCs w:val="28"/>
          <w:lang w:val="es-NI"/>
        </w:rPr>
        <w:t>2. B</w:t>
      </w:r>
      <w:r w:rsidRPr="00AE2DFE">
        <w:rPr>
          <w:b/>
          <w:color w:val="auto"/>
          <w:szCs w:val="28"/>
          <w:lang w:val="af-ZA"/>
        </w:rPr>
        <w:t>ố trí vốn đầu tư công năm 2017 đối với các nguồn vốn thuộc ngân sách địa phương</w:t>
      </w:r>
    </w:p>
    <w:p w:rsidR="00FD79E1" w:rsidRPr="00AE2DFE" w:rsidRDefault="00FD79E1" w:rsidP="00FD79E1">
      <w:pPr>
        <w:spacing w:before="60" w:after="60"/>
        <w:ind w:firstLine="709"/>
        <w:jc w:val="both"/>
        <w:rPr>
          <w:color w:val="auto"/>
          <w:szCs w:val="28"/>
        </w:rPr>
      </w:pPr>
      <w:r w:rsidRPr="00AE2DFE">
        <w:rPr>
          <w:color w:val="auto"/>
          <w:szCs w:val="28"/>
        </w:rPr>
        <w:t xml:space="preserve">Qua xem xét số liệu tổng hợp danh mục các dự án thuộc kế hoạch đầu tư công 2017 ngân sách địa phương, Ban cơ bản thống nhất phương án phân bổ vốn của UBND huyện. Việc bố trí vốn đã được huyện tuân thủ nguyên tắc, tiêu chí và định mức phân bổ vốn theo đúng quy định hiện hành. </w:t>
      </w:r>
    </w:p>
    <w:p w:rsidR="00FD79E1" w:rsidRPr="00AE2DFE" w:rsidRDefault="00FD79E1" w:rsidP="00FD79E1">
      <w:pPr>
        <w:spacing w:before="60" w:after="60"/>
        <w:ind w:firstLine="709"/>
        <w:jc w:val="both"/>
        <w:rPr>
          <w:b/>
          <w:color w:val="auto"/>
          <w:szCs w:val="28"/>
          <w:lang w:val="af-ZA"/>
        </w:rPr>
      </w:pPr>
      <w:r w:rsidRPr="00AE2DFE">
        <w:rPr>
          <w:color w:val="auto"/>
          <w:szCs w:val="28"/>
          <w:lang w:val="af-ZA"/>
        </w:rPr>
        <w:t>Tổng vốn đầu tư phát triển thuộc các nguồn vốn cân đối ngân sách địa phương năm 2017 là 27.019 triệu đồng, trong đó:</w:t>
      </w:r>
    </w:p>
    <w:p w:rsidR="00FD79E1" w:rsidRPr="00AE2DFE" w:rsidRDefault="00FD79E1" w:rsidP="00FD79E1">
      <w:pPr>
        <w:spacing w:before="60" w:after="60"/>
        <w:ind w:firstLine="709"/>
        <w:jc w:val="both"/>
        <w:rPr>
          <w:color w:val="auto"/>
          <w:szCs w:val="28"/>
          <w:lang w:val="af-ZA"/>
        </w:rPr>
      </w:pPr>
      <w:r w:rsidRPr="00AE2DFE">
        <w:rPr>
          <w:b/>
          <w:color w:val="auto"/>
          <w:szCs w:val="28"/>
          <w:lang w:val="af-ZA"/>
        </w:rPr>
        <w:t>2.1. Vốn đầu tư cân đối NSĐP theo tiêu chí quy định tại Quyết định số 40/2015/QĐ-TTg (20.479 triệu đồng)</w:t>
      </w:r>
    </w:p>
    <w:p w:rsidR="00FD79E1" w:rsidRPr="00AE2DFE" w:rsidRDefault="00FD79E1" w:rsidP="00FD79E1">
      <w:pPr>
        <w:tabs>
          <w:tab w:val="right" w:pos="9214"/>
        </w:tabs>
        <w:spacing w:before="60" w:after="60"/>
        <w:ind w:firstLine="709"/>
        <w:jc w:val="both"/>
        <w:rPr>
          <w:color w:val="auto"/>
          <w:szCs w:val="28"/>
          <w:lang w:val="af-ZA"/>
        </w:rPr>
      </w:pPr>
      <w:r w:rsidRPr="00AE2DFE">
        <w:rPr>
          <w:color w:val="auto"/>
          <w:szCs w:val="28"/>
          <w:lang w:val="af-ZA"/>
        </w:rPr>
        <w:t>- Phân cấp cân đối NSĐP theo tiêu chí quy định tại Nghị quyết số 24/2015/NQ-HĐND là 7.480 triệu đồng, trong đó: Bố trí để trả khoản nợ vay chương trình Kiên cố hóa kênh mương và đường giao thông 2.280 triệu đồng.</w:t>
      </w:r>
    </w:p>
    <w:p w:rsidR="00FD79E1" w:rsidRPr="00AE2DFE" w:rsidRDefault="00FD79E1" w:rsidP="00FD79E1">
      <w:pPr>
        <w:tabs>
          <w:tab w:val="right" w:pos="8931"/>
        </w:tabs>
        <w:spacing w:before="60" w:after="60"/>
        <w:ind w:firstLine="709"/>
        <w:jc w:val="both"/>
        <w:rPr>
          <w:color w:val="auto"/>
          <w:szCs w:val="28"/>
          <w:lang w:val="af-ZA"/>
        </w:rPr>
      </w:pPr>
      <w:r w:rsidRPr="00AE2DFE">
        <w:rPr>
          <w:color w:val="auto"/>
          <w:szCs w:val="28"/>
          <w:lang w:val="af-ZA"/>
        </w:rPr>
        <w:t>- Phân cấp đầu tư các xã biên giới (</w:t>
      </w:r>
      <w:r w:rsidRPr="00AE2DFE">
        <w:rPr>
          <w:i/>
          <w:color w:val="auto"/>
          <w:szCs w:val="28"/>
          <w:lang w:val="af-ZA"/>
        </w:rPr>
        <w:t>lồng ghép thực hiện Chương trình mục tiêu quốc gia xây dựng nông thôn mới</w:t>
      </w:r>
      <w:r w:rsidRPr="00AE2DFE">
        <w:rPr>
          <w:color w:val="auto"/>
          <w:szCs w:val="28"/>
          <w:lang w:val="af-ZA"/>
        </w:rPr>
        <w:t>) 2.000 triệu đồng;</w:t>
      </w:r>
    </w:p>
    <w:p w:rsidR="00FD79E1" w:rsidRPr="00AE2DFE" w:rsidRDefault="00FD79E1" w:rsidP="00FD79E1">
      <w:pPr>
        <w:tabs>
          <w:tab w:val="right" w:pos="8931"/>
        </w:tabs>
        <w:spacing w:before="60" w:after="60"/>
        <w:ind w:firstLine="709"/>
        <w:jc w:val="both"/>
        <w:rPr>
          <w:color w:val="auto"/>
          <w:szCs w:val="28"/>
          <w:lang w:val="af-ZA"/>
        </w:rPr>
      </w:pPr>
      <w:r w:rsidRPr="00AE2DFE">
        <w:rPr>
          <w:color w:val="auto"/>
          <w:szCs w:val="28"/>
          <w:lang w:val="af-ZA"/>
        </w:rPr>
        <w:t>- Phân cấp đầu tư các công trình giáo dục (</w:t>
      </w:r>
      <w:r w:rsidRPr="00AE2DFE">
        <w:rPr>
          <w:i/>
          <w:color w:val="auto"/>
          <w:szCs w:val="28"/>
          <w:lang w:val="af-ZA"/>
        </w:rPr>
        <w:t>lồng ghép thực hiện Chương trình MTQG xây dựng nông thôn mới</w:t>
      </w:r>
      <w:r w:rsidRPr="00AE2DFE">
        <w:rPr>
          <w:color w:val="auto"/>
          <w:szCs w:val="28"/>
          <w:lang w:val="af-ZA"/>
        </w:rPr>
        <w:t>) 3.640 triệu đồng;</w:t>
      </w:r>
    </w:p>
    <w:p w:rsidR="00FD79E1" w:rsidRPr="00AE2DFE" w:rsidRDefault="00FD79E1" w:rsidP="00FD79E1">
      <w:pPr>
        <w:tabs>
          <w:tab w:val="right" w:pos="8931"/>
        </w:tabs>
        <w:spacing w:before="60" w:after="60"/>
        <w:ind w:firstLine="709"/>
        <w:jc w:val="both"/>
        <w:rPr>
          <w:color w:val="auto"/>
          <w:szCs w:val="28"/>
          <w:lang w:val="af-ZA"/>
        </w:rPr>
      </w:pPr>
      <w:r w:rsidRPr="00AE2DFE">
        <w:rPr>
          <w:color w:val="auto"/>
          <w:szCs w:val="28"/>
          <w:lang w:val="af-ZA"/>
        </w:rPr>
        <w:t>- Phân cấp hỗ trợ, bổ sung khác 7.359 triệu đồng.</w:t>
      </w:r>
    </w:p>
    <w:p w:rsidR="00FD79E1" w:rsidRPr="00AE2DFE" w:rsidRDefault="00FD79E1" w:rsidP="00FD79E1">
      <w:pPr>
        <w:tabs>
          <w:tab w:val="right" w:pos="8931"/>
        </w:tabs>
        <w:spacing w:before="60" w:after="60"/>
        <w:ind w:firstLine="709"/>
        <w:jc w:val="both"/>
        <w:rPr>
          <w:b/>
          <w:color w:val="auto"/>
          <w:szCs w:val="28"/>
          <w:lang w:val="af-ZA"/>
        </w:rPr>
      </w:pPr>
      <w:r w:rsidRPr="00AE2DFE">
        <w:rPr>
          <w:b/>
          <w:color w:val="auto"/>
          <w:szCs w:val="28"/>
          <w:lang w:val="af-ZA"/>
        </w:rPr>
        <w:t>2.2. Nguồn thu tiền sử dụng đất (3.000</w:t>
      </w:r>
      <w:r w:rsidRPr="00AE2DFE">
        <w:rPr>
          <w:color w:val="auto"/>
          <w:szCs w:val="28"/>
          <w:lang w:val="af-ZA"/>
        </w:rPr>
        <w:t xml:space="preserve"> </w:t>
      </w:r>
      <w:r w:rsidRPr="00AE2DFE">
        <w:rPr>
          <w:b/>
          <w:color w:val="auto"/>
          <w:szCs w:val="28"/>
          <w:lang w:val="af-ZA"/>
        </w:rPr>
        <w:t>triệu đồng).</w:t>
      </w:r>
    </w:p>
    <w:p w:rsidR="00FD79E1" w:rsidRPr="00AE2DFE" w:rsidRDefault="00FD79E1" w:rsidP="00FD79E1">
      <w:pPr>
        <w:pStyle w:val="BodyTextIndent2"/>
        <w:widowControl w:val="0"/>
        <w:spacing w:before="60" w:after="60" w:line="240" w:lineRule="auto"/>
        <w:ind w:left="0" w:firstLine="709"/>
        <w:jc w:val="both"/>
        <w:rPr>
          <w:b/>
          <w:sz w:val="28"/>
          <w:szCs w:val="28"/>
          <w:lang w:val="af-ZA"/>
        </w:rPr>
      </w:pPr>
      <w:r w:rsidRPr="00AE2DFE">
        <w:rPr>
          <w:b/>
          <w:sz w:val="28"/>
          <w:szCs w:val="28"/>
          <w:lang w:val="af-ZA"/>
        </w:rPr>
        <w:lastRenderedPageBreak/>
        <w:t>2.3. Nguồn thu xổ số kiến thiết (3.540 triệu đồng).</w:t>
      </w:r>
    </w:p>
    <w:p w:rsidR="00FD79E1" w:rsidRPr="00AE2DFE" w:rsidRDefault="00FD79E1" w:rsidP="00FD79E1">
      <w:pPr>
        <w:pStyle w:val="BodyTextIndent2"/>
        <w:widowControl w:val="0"/>
        <w:spacing w:before="60" w:after="60" w:line="240" w:lineRule="auto"/>
        <w:ind w:left="0" w:firstLine="709"/>
        <w:jc w:val="both"/>
        <w:rPr>
          <w:b/>
          <w:sz w:val="28"/>
          <w:szCs w:val="28"/>
        </w:rPr>
      </w:pPr>
      <w:r w:rsidRPr="00AE2DFE">
        <w:rPr>
          <w:b/>
          <w:sz w:val="28"/>
          <w:szCs w:val="28"/>
        </w:rPr>
        <w:t>III. Sự phù hợp của nội dung dự thảo nghị quyết với đường lối, chủ trương của Đảng, chính sách của Nhà nước; tình hình, điều kiện phát triển kinh tế - xã hội của địa phương</w:t>
      </w:r>
    </w:p>
    <w:p w:rsidR="00FD79E1" w:rsidRPr="00AE2DFE" w:rsidRDefault="00FD79E1" w:rsidP="00FD79E1">
      <w:pPr>
        <w:spacing w:before="60" w:after="60"/>
        <w:ind w:firstLine="709"/>
        <w:jc w:val="both"/>
        <w:rPr>
          <w:color w:val="auto"/>
          <w:szCs w:val="28"/>
        </w:rPr>
      </w:pPr>
      <w:r w:rsidRPr="00AE2DFE">
        <w:rPr>
          <w:color w:val="auto"/>
          <w:szCs w:val="28"/>
        </w:rPr>
        <w:t xml:space="preserve">Nội dung dự thảo nghị quyết </w:t>
      </w:r>
      <w:r w:rsidRPr="00AE2DFE">
        <w:rPr>
          <w:bCs/>
          <w:color w:val="auto"/>
          <w:szCs w:val="28"/>
        </w:rPr>
        <w:t xml:space="preserve">kế hoạch đầu tư công năm 2017 </w:t>
      </w:r>
      <w:r w:rsidRPr="00AE2DFE">
        <w:rPr>
          <w:color w:val="auto"/>
          <w:szCs w:val="28"/>
        </w:rPr>
        <w:t xml:space="preserve">phù hợp với đường lối, chủ trương của Đảng, chính sách của Nhà nước hiện hành; </w:t>
      </w:r>
      <w:r w:rsidRPr="00AE2DFE">
        <w:rPr>
          <w:bCs/>
          <w:color w:val="auto"/>
          <w:szCs w:val="28"/>
        </w:rPr>
        <w:t xml:space="preserve">các quy định của Luật Đầu tư công năm 2014; Nghị định số 77/2015/NĐ-CP ngày 10/09/2015 của Chính phủ về kế hoạch đầu tư công trung hạn và hằng năm; </w:t>
      </w:r>
      <w:r w:rsidRPr="00AE2DFE">
        <w:rPr>
          <w:color w:val="auto"/>
          <w:szCs w:val="28"/>
          <w:lang w:val="nb-NO"/>
        </w:rPr>
        <w:t>Thông tư số 91/2016/TT-BTC ngày 24/6/2016 của Bộ Tài chính hướng dẫn xây dựng dự toán ngân sách Nhà nước năm 2017</w:t>
      </w:r>
      <w:r w:rsidRPr="00AE2DFE">
        <w:rPr>
          <w:bCs/>
          <w:color w:val="auto"/>
          <w:szCs w:val="28"/>
        </w:rPr>
        <w:t>. Bám sát phương hướng, nhiệm vụ kinh tế - xã hội năm 2017 và dự toán ngân sách nhà nước năm 2017</w:t>
      </w:r>
      <w:r w:rsidRPr="00AE2DFE">
        <w:rPr>
          <w:color w:val="auto"/>
          <w:szCs w:val="28"/>
        </w:rPr>
        <w:t xml:space="preserve">. Vậy, việc Ủy ban nhân dân trình dự thảo nghị quyết về phê duyệt kế hoạch đầu tư công năm 2017 </w:t>
      </w:r>
      <w:r w:rsidRPr="00AE2DFE">
        <w:rPr>
          <w:color w:val="auto"/>
          <w:szCs w:val="28"/>
          <w:lang w:val="nl-NL"/>
        </w:rPr>
        <w:t xml:space="preserve">là cần thiết, đúng quy định pháp luật và phù hợp với </w:t>
      </w:r>
      <w:r w:rsidRPr="00AE2DFE">
        <w:rPr>
          <w:color w:val="auto"/>
          <w:szCs w:val="28"/>
        </w:rPr>
        <w:t>điều kiện phát triển kinh tế - xã hội của địa phương.</w:t>
      </w:r>
    </w:p>
    <w:p w:rsidR="00FD79E1" w:rsidRPr="00AE2DFE" w:rsidRDefault="00FD79E1" w:rsidP="00FD79E1">
      <w:pPr>
        <w:spacing w:before="60" w:after="60"/>
        <w:ind w:firstLine="709"/>
        <w:jc w:val="both"/>
        <w:rPr>
          <w:b/>
          <w:color w:val="auto"/>
          <w:szCs w:val="28"/>
        </w:rPr>
      </w:pPr>
      <w:r w:rsidRPr="00AE2DFE">
        <w:rPr>
          <w:b/>
          <w:color w:val="auto"/>
          <w:szCs w:val="28"/>
        </w:rPr>
        <w:t>IV. Tính hợp hiến, hợp pháp và tính thống nhất của dự thảo nghị quyết với hệ thống pháp luật</w:t>
      </w:r>
    </w:p>
    <w:p w:rsidR="00FD79E1" w:rsidRPr="00AE2DFE" w:rsidRDefault="00FD79E1" w:rsidP="00FD79E1">
      <w:pPr>
        <w:spacing w:before="60" w:after="60"/>
        <w:ind w:firstLine="709"/>
        <w:jc w:val="both"/>
        <w:rPr>
          <w:color w:val="auto"/>
          <w:szCs w:val="28"/>
        </w:rPr>
      </w:pPr>
      <w:r w:rsidRPr="00AE2DFE">
        <w:rPr>
          <w:color w:val="auto"/>
          <w:szCs w:val="28"/>
        </w:rPr>
        <w:t>Nội dung dự thảo nghị quyết đã đảm bảo theo quy định tại Khoản 3, Điều 68, Luật Đầu tư công năm 2014: “</w:t>
      </w:r>
      <w:r w:rsidRPr="00AE2DFE">
        <w:rPr>
          <w:i/>
          <w:color w:val="auto"/>
          <w:szCs w:val="28"/>
        </w:rPr>
        <w:t>…Hội đồng nhân dân cấp huyện quyết định kế hoạch đầu tư năm sau của cấp mình, bao gồm danh mục và mức vốn cân đối ngân sách địa phương, vốn từ nguồn thu để lại cho đầu tư nhưng chưa đưa vào cân đối ngân sách địa phương bố trí cho từng dự án</w:t>
      </w:r>
      <w:r w:rsidRPr="00AE2DFE">
        <w:rPr>
          <w:color w:val="auto"/>
          <w:szCs w:val="28"/>
        </w:rPr>
        <w:t>”.</w:t>
      </w:r>
    </w:p>
    <w:p w:rsidR="00FD79E1" w:rsidRPr="00AE2DFE" w:rsidRDefault="00FD79E1" w:rsidP="00FD79E1">
      <w:pPr>
        <w:spacing w:before="60" w:after="60"/>
        <w:ind w:firstLine="709"/>
        <w:jc w:val="both"/>
        <w:rPr>
          <w:b/>
          <w:color w:val="auto"/>
          <w:szCs w:val="28"/>
        </w:rPr>
      </w:pPr>
      <w:r w:rsidRPr="00AE2DFE">
        <w:rPr>
          <w:b/>
          <w:color w:val="auto"/>
          <w:szCs w:val="28"/>
        </w:rPr>
        <w:t>* Ý kiến của Ban Kinh tế - Xã hội</w:t>
      </w:r>
    </w:p>
    <w:p w:rsidR="00FD79E1" w:rsidRPr="00AE2DFE" w:rsidRDefault="00FD79E1" w:rsidP="00FD79E1">
      <w:pPr>
        <w:spacing w:before="60" w:after="60"/>
        <w:ind w:firstLine="709"/>
        <w:jc w:val="both"/>
        <w:rPr>
          <w:color w:val="auto"/>
          <w:szCs w:val="28"/>
        </w:rPr>
      </w:pPr>
      <w:r w:rsidRPr="00AE2DFE">
        <w:rPr>
          <w:color w:val="auto"/>
          <w:szCs w:val="28"/>
        </w:rPr>
        <w:t>Ban thống nhất với Kế hoạch đầu tư công năm 2017 vốn ngân sách địa phương. Tuy nhiên, Ban đề nghị huyện ưu tiên xử lý dứt điểm các khoản nợ đọng xây dựng cơ bản trước khi tiến hành đầu tư vốn cho các dự án khởi công mới. Bố trí, sắp xếp, cân đối vốn đầu tư tập trung, tránh dàn trải, bảo đảm hiệu quả sử dụng vốn đầu tư theo đúng quy định. Bảo đảm tính công khai, minh bạch, công bằng trong việc phân bổ vốn đầu tư phát triển.</w:t>
      </w:r>
    </w:p>
    <w:p w:rsidR="00FD79E1" w:rsidRPr="00AE2DFE" w:rsidRDefault="00FD79E1" w:rsidP="00FD79E1">
      <w:pPr>
        <w:spacing w:before="60" w:after="60"/>
        <w:ind w:firstLine="709"/>
        <w:jc w:val="both"/>
        <w:rPr>
          <w:color w:val="auto"/>
          <w:szCs w:val="28"/>
        </w:rPr>
      </w:pPr>
      <w:r w:rsidRPr="00AE2DFE">
        <w:rPr>
          <w:color w:val="auto"/>
          <w:szCs w:val="28"/>
        </w:rPr>
        <w:t>- Hoàn chỉnh dự thảo nghị quyết theo đúng quy định về thể thức và kỹ thuật trình bày văn bản quy phạm pháp luật quy định tại Luật Ban hành văn bản quy phạm pháp luật năm 2015 và Nghị định 34/2016/NĐ-CP, ngày 14/5/2016 và Mẫu số 17, Phụ lục I ban hành kèm theo.</w:t>
      </w:r>
    </w:p>
    <w:p w:rsidR="00FD79E1" w:rsidRPr="00AE2DFE" w:rsidRDefault="00FD79E1" w:rsidP="00FD79E1">
      <w:pPr>
        <w:spacing w:before="60" w:after="60"/>
        <w:ind w:firstLine="709"/>
        <w:jc w:val="both"/>
        <w:rPr>
          <w:color w:val="auto"/>
          <w:szCs w:val="28"/>
        </w:rPr>
      </w:pPr>
      <w:r w:rsidRPr="00AE2DFE">
        <w:rPr>
          <w:color w:val="auto"/>
          <w:szCs w:val="28"/>
        </w:rPr>
        <w:t>Trên đây là báo cáo thẩm tra của Ban Kinh tế - Xã hội về dự thảo Nghị quyết Hội đồng nhân dân huyện phê duyệt kế hoạch đầu tư công năm 2017.</w:t>
      </w:r>
    </w:p>
    <w:p w:rsidR="00FD79E1" w:rsidRPr="00AE2DFE" w:rsidRDefault="00FD79E1" w:rsidP="00FD79E1">
      <w:pPr>
        <w:spacing w:before="60" w:after="60"/>
        <w:ind w:firstLine="709"/>
        <w:jc w:val="both"/>
        <w:rPr>
          <w:color w:val="auto"/>
          <w:szCs w:val="28"/>
          <w:lang w:val="nl-NL"/>
        </w:rPr>
      </w:pPr>
      <w:r w:rsidRPr="00AE2DFE">
        <w:rPr>
          <w:color w:val="auto"/>
          <w:szCs w:val="28"/>
          <w:lang w:val="nl-NL"/>
        </w:rPr>
        <w:tab/>
        <w:t>Trình Hội đồng nhân dân huyện khóa X, kỳ họp thứ 3 xem xét, quyết định./.</w:t>
      </w:r>
    </w:p>
    <w:tbl>
      <w:tblPr>
        <w:tblW w:w="4889" w:type="pct"/>
        <w:tblInd w:w="108" w:type="dxa"/>
        <w:tblLook w:val="01E0"/>
      </w:tblPr>
      <w:tblGrid>
        <w:gridCol w:w="4292"/>
        <w:gridCol w:w="5067"/>
      </w:tblGrid>
      <w:tr w:rsidR="00FD79E1" w:rsidRPr="00B35AB0" w:rsidTr="00A0534C">
        <w:trPr>
          <w:trHeight w:val="2060"/>
        </w:trPr>
        <w:tc>
          <w:tcPr>
            <w:tcW w:w="2293" w:type="pct"/>
            <w:shd w:val="clear" w:color="auto" w:fill="auto"/>
          </w:tcPr>
          <w:p w:rsidR="00FD79E1" w:rsidRPr="00B35AB0" w:rsidRDefault="00FD79E1" w:rsidP="00A0534C">
            <w:pPr>
              <w:spacing w:before="60"/>
              <w:rPr>
                <w:b/>
                <w:i/>
                <w:color w:val="000000"/>
                <w:sz w:val="24"/>
              </w:rPr>
            </w:pPr>
            <w:r w:rsidRPr="00B35AB0">
              <w:rPr>
                <w:b/>
                <w:i/>
                <w:color w:val="000000"/>
                <w:sz w:val="24"/>
              </w:rPr>
              <w:t>Nơi nhận:</w:t>
            </w:r>
          </w:p>
          <w:p w:rsidR="00FD79E1" w:rsidRPr="00B35AB0" w:rsidRDefault="00FD79E1" w:rsidP="00A0534C">
            <w:pPr>
              <w:rPr>
                <w:color w:val="000000"/>
                <w:sz w:val="22"/>
              </w:rPr>
            </w:pPr>
            <w:r w:rsidRPr="00B35AB0">
              <w:rPr>
                <w:color w:val="000000"/>
                <w:sz w:val="22"/>
              </w:rPr>
              <w:t xml:space="preserve">- Thường trực HĐND </w:t>
            </w:r>
            <w:r>
              <w:rPr>
                <w:color w:val="000000"/>
                <w:sz w:val="22"/>
              </w:rPr>
              <w:t>huyện</w:t>
            </w:r>
            <w:r w:rsidRPr="00B35AB0">
              <w:rPr>
                <w:color w:val="000000"/>
                <w:sz w:val="22"/>
              </w:rPr>
              <w:t>;</w:t>
            </w:r>
          </w:p>
          <w:p w:rsidR="00FD79E1" w:rsidRPr="00B35AB0" w:rsidRDefault="00FD79E1" w:rsidP="00A0534C">
            <w:pPr>
              <w:rPr>
                <w:color w:val="000000"/>
                <w:sz w:val="22"/>
              </w:rPr>
            </w:pPr>
            <w:r w:rsidRPr="00B35AB0">
              <w:rPr>
                <w:color w:val="000000"/>
                <w:sz w:val="22"/>
              </w:rPr>
              <w:t xml:space="preserve">- Đại biểu HĐND </w:t>
            </w:r>
            <w:r>
              <w:rPr>
                <w:color w:val="000000"/>
                <w:sz w:val="22"/>
              </w:rPr>
              <w:t>huyện</w:t>
            </w:r>
            <w:r w:rsidRPr="00B35AB0">
              <w:rPr>
                <w:color w:val="000000"/>
                <w:sz w:val="22"/>
              </w:rPr>
              <w:t>;</w:t>
            </w:r>
          </w:p>
          <w:p w:rsidR="00FD79E1" w:rsidRPr="00B35AB0" w:rsidRDefault="00FD79E1" w:rsidP="00A0534C">
            <w:pPr>
              <w:rPr>
                <w:color w:val="000000"/>
              </w:rPr>
            </w:pPr>
            <w:r>
              <w:rPr>
                <w:color w:val="000000"/>
                <w:sz w:val="22"/>
              </w:rPr>
              <w:t>- Lưu: VT, KT-XH</w:t>
            </w:r>
            <w:r w:rsidRPr="00B35AB0">
              <w:rPr>
                <w:color w:val="000000"/>
                <w:sz w:val="14"/>
              </w:rPr>
              <w:t>.</w:t>
            </w:r>
          </w:p>
        </w:tc>
        <w:tc>
          <w:tcPr>
            <w:tcW w:w="2707" w:type="pct"/>
            <w:shd w:val="clear" w:color="auto" w:fill="auto"/>
          </w:tcPr>
          <w:p w:rsidR="00FD79E1" w:rsidRPr="00522F2E" w:rsidRDefault="00FD79E1" w:rsidP="00A0534C">
            <w:pPr>
              <w:spacing w:before="60"/>
              <w:jc w:val="center"/>
              <w:rPr>
                <w:b/>
                <w:color w:val="000000"/>
                <w:sz w:val="26"/>
                <w:szCs w:val="26"/>
              </w:rPr>
            </w:pPr>
            <w:r w:rsidRPr="00522F2E">
              <w:rPr>
                <w:b/>
                <w:color w:val="000000"/>
                <w:sz w:val="26"/>
                <w:szCs w:val="26"/>
              </w:rPr>
              <w:t>TM. BAN KINH TẾ - XÃ HỘI</w:t>
            </w:r>
          </w:p>
          <w:p w:rsidR="00FD79E1" w:rsidRPr="00522F2E" w:rsidRDefault="00FD79E1" w:rsidP="00A0534C">
            <w:pPr>
              <w:jc w:val="center"/>
              <w:rPr>
                <w:b/>
                <w:color w:val="000000"/>
                <w:sz w:val="26"/>
                <w:szCs w:val="26"/>
              </w:rPr>
            </w:pPr>
            <w:r w:rsidRPr="00522F2E">
              <w:rPr>
                <w:b/>
                <w:color w:val="000000"/>
                <w:sz w:val="26"/>
                <w:szCs w:val="26"/>
              </w:rPr>
              <w:t>TRƯỞNG BAN</w:t>
            </w:r>
          </w:p>
          <w:p w:rsidR="00FD79E1" w:rsidRPr="00522F2E" w:rsidRDefault="00FD79E1" w:rsidP="00A0534C">
            <w:pPr>
              <w:jc w:val="center"/>
              <w:rPr>
                <w:b/>
                <w:color w:val="000000"/>
                <w:sz w:val="26"/>
                <w:szCs w:val="26"/>
              </w:rPr>
            </w:pPr>
            <w:r w:rsidRPr="00522F2E">
              <w:rPr>
                <w:b/>
                <w:color w:val="000000"/>
                <w:sz w:val="26"/>
                <w:szCs w:val="26"/>
              </w:rPr>
              <w:t>(Đã ký)</w:t>
            </w:r>
          </w:p>
          <w:p w:rsidR="00FD79E1" w:rsidRPr="00522F2E" w:rsidRDefault="00FD79E1" w:rsidP="00A0534C">
            <w:pPr>
              <w:jc w:val="center"/>
              <w:rPr>
                <w:b/>
                <w:color w:val="000000"/>
                <w:sz w:val="26"/>
                <w:szCs w:val="26"/>
              </w:rPr>
            </w:pPr>
          </w:p>
          <w:p w:rsidR="00FD79E1" w:rsidRPr="00522F2E" w:rsidRDefault="00FD79E1" w:rsidP="00A0534C">
            <w:pPr>
              <w:jc w:val="center"/>
              <w:rPr>
                <w:b/>
                <w:color w:val="000000"/>
                <w:sz w:val="26"/>
                <w:szCs w:val="26"/>
              </w:rPr>
            </w:pPr>
            <w:r w:rsidRPr="00522F2E">
              <w:rPr>
                <w:b/>
                <w:color w:val="000000"/>
                <w:sz w:val="26"/>
                <w:szCs w:val="26"/>
              </w:rPr>
              <w:t>Nguyễn Viết Hùng</w:t>
            </w:r>
          </w:p>
          <w:p w:rsidR="00FD79E1" w:rsidRPr="00B35AB0" w:rsidRDefault="00FD79E1" w:rsidP="00A0534C">
            <w:pPr>
              <w:spacing w:before="40"/>
              <w:jc w:val="center"/>
              <w:rPr>
                <w:b/>
                <w:color w:val="000000"/>
                <w:sz w:val="26"/>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FD79E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2DFE"/>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9E1"/>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E1"/>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79E1"/>
    <w:pPr>
      <w:spacing w:after="120" w:line="480" w:lineRule="auto"/>
      <w:ind w:left="360"/>
    </w:pPr>
    <w:rPr>
      <w:color w:val="auto"/>
      <w:sz w:val="24"/>
    </w:rPr>
  </w:style>
  <w:style w:type="character" w:customStyle="1" w:styleId="BodyTextIndent2Char">
    <w:name w:val="Body Text Indent 2 Char"/>
    <w:basedOn w:val="DefaultParagraphFont"/>
    <w:link w:val="BodyTextIndent2"/>
    <w:rsid w:val="00FD79E1"/>
    <w:rPr>
      <w:rFonts w:eastAsia="Times New Roman" w:cs="Times New Roman"/>
      <w:sz w:val="24"/>
      <w:szCs w:val="24"/>
    </w:rPr>
  </w:style>
  <w:style w:type="paragraph" w:customStyle="1" w:styleId="041">
    <w:name w:val="041"/>
    <w:aliases w:val="Body1"/>
    <w:basedOn w:val="Normal"/>
    <w:qFormat/>
    <w:rsid w:val="00FD79E1"/>
    <w:pPr>
      <w:spacing w:before="120" w:after="120" w:line="264" w:lineRule="auto"/>
      <w:ind w:firstLine="720"/>
      <w:jc w:val="both"/>
    </w:pPr>
    <w:rPr>
      <w:rFonts w:eastAsia="Calibri"/>
      <w:color w:val="auto"/>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6563</Characters>
  <Application>Microsoft Office Word</Application>
  <DocSecurity>0</DocSecurity>
  <Lines>54</Lines>
  <Paragraphs>15</Paragraphs>
  <ScaleCrop>false</ScaleCrop>
  <Company>Sky123.Org</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2018-05-10T13:30:00Z</dcterms:created>
  <dcterms:modified xsi:type="dcterms:W3CDTF">2018-05-10T13:30:00Z</dcterms:modified>
</cp:coreProperties>
</file>