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3"/>
        <w:gridCol w:w="5970"/>
      </w:tblGrid>
      <w:tr w:rsidR="00E54FDE" w:rsidRPr="00297160" w:rsidTr="00A0534C">
        <w:trPr>
          <w:trHeight w:val="878"/>
        </w:trPr>
        <w:tc>
          <w:tcPr>
            <w:tcW w:w="3548" w:type="dxa"/>
          </w:tcPr>
          <w:p w:rsidR="00E54FDE" w:rsidRPr="00297160" w:rsidRDefault="00E54FDE" w:rsidP="00A0534C">
            <w:pPr>
              <w:jc w:val="center"/>
              <w:rPr>
                <w:color w:val="auto"/>
                <w:sz w:val="26"/>
                <w:szCs w:val="26"/>
                <w:lang w:val="pt-BR"/>
              </w:rPr>
            </w:pPr>
            <w:r w:rsidRPr="00297160">
              <w:rPr>
                <w:b/>
                <w:color w:val="auto"/>
                <w:sz w:val="26"/>
                <w:szCs w:val="26"/>
                <w:lang w:val="pt-BR"/>
              </w:rPr>
              <w:t>HỘI ĐỒNG NHÂN DÂN</w:t>
            </w:r>
          </w:p>
          <w:p w:rsidR="00E54FDE" w:rsidRPr="00297160" w:rsidRDefault="00E54FDE"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085" w:type="dxa"/>
          </w:tcPr>
          <w:p w:rsidR="00E54FDE" w:rsidRPr="008B2333" w:rsidRDefault="00E54FDE" w:rsidP="00A0534C">
            <w:pPr>
              <w:jc w:val="center"/>
              <w:rPr>
                <w:b/>
                <w:color w:val="auto"/>
                <w:sz w:val="26"/>
                <w:szCs w:val="26"/>
                <w:lang w:val="pt-BR"/>
              </w:rPr>
            </w:pPr>
            <w:r w:rsidRPr="008B2333">
              <w:rPr>
                <w:b/>
                <w:color w:val="auto"/>
                <w:sz w:val="26"/>
                <w:szCs w:val="26"/>
                <w:lang w:val="pt-BR"/>
              </w:rPr>
              <w:t>CỘNG HÒA XÃ HỘI CHỦ NGHĨA VIỆT NAM</w:t>
            </w:r>
          </w:p>
          <w:p w:rsidR="00E54FDE" w:rsidRPr="00297160" w:rsidRDefault="00E54FDE" w:rsidP="00A0534C">
            <w:pPr>
              <w:jc w:val="center"/>
              <w:rPr>
                <w:b/>
                <w:color w:val="auto"/>
                <w:szCs w:val="28"/>
                <w:lang w:val="pt-BR"/>
              </w:rPr>
            </w:pPr>
            <w:r w:rsidRPr="00297160">
              <w:rPr>
                <w:b/>
                <w:color w:val="auto"/>
                <w:szCs w:val="28"/>
                <w:lang w:val="pt-BR"/>
              </w:rPr>
              <w:t>Độc Lập - Tự do - Hạnh phúc</w:t>
            </w:r>
          </w:p>
          <w:p w:rsidR="00E54FDE" w:rsidRPr="00297160" w:rsidRDefault="00E54FDE"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E54FDE" w:rsidRPr="00297160" w:rsidTr="00A0534C">
        <w:trPr>
          <w:trHeight w:val="449"/>
        </w:trPr>
        <w:tc>
          <w:tcPr>
            <w:tcW w:w="3548" w:type="dxa"/>
          </w:tcPr>
          <w:p w:rsidR="00E54FDE" w:rsidRPr="00297160" w:rsidRDefault="00E54FDE" w:rsidP="00A0534C">
            <w:pPr>
              <w:jc w:val="center"/>
              <w:rPr>
                <w:b/>
                <w:color w:val="auto"/>
                <w:szCs w:val="28"/>
                <w:lang w:val="pt-BR"/>
              </w:rPr>
            </w:pPr>
            <w:r w:rsidRPr="00297160">
              <w:rPr>
                <w:color w:val="auto"/>
                <w:szCs w:val="28"/>
                <w:lang w:val="pt-BR"/>
              </w:rPr>
              <w:t xml:space="preserve">Số:  </w:t>
            </w:r>
            <w:r>
              <w:rPr>
                <w:color w:val="auto"/>
                <w:szCs w:val="28"/>
                <w:lang w:val="pt-BR"/>
              </w:rPr>
              <w:t>43</w:t>
            </w:r>
            <w:r w:rsidRPr="00297160">
              <w:rPr>
                <w:color w:val="auto"/>
                <w:szCs w:val="28"/>
                <w:lang w:val="pt-BR"/>
              </w:rPr>
              <w:t xml:space="preserve"> /BC-BPC</w:t>
            </w:r>
          </w:p>
        </w:tc>
        <w:tc>
          <w:tcPr>
            <w:tcW w:w="6085" w:type="dxa"/>
          </w:tcPr>
          <w:p w:rsidR="00E54FDE" w:rsidRPr="00297160" w:rsidRDefault="00E54FDE" w:rsidP="00A0534C">
            <w:pPr>
              <w:jc w:val="center"/>
              <w:rPr>
                <w:b/>
                <w:color w:val="auto"/>
                <w:szCs w:val="28"/>
                <w:lang w:val="pt-BR"/>
              </w:rPr>
            </w:pPr>
            <w:r w:rsidRPr="00297160">
              <w:rPr>
                <w:i/>
                <w:color w:val="auto"/>
                <w:szCs w:val="28"/>
                <w:lang w:val="pt-BR"/>
              </w:rPr>
              <w:t xml:space="preserve">Sa Thầy, ngày </w:t>
            </w:r>
            <w:r>
              <w:rPr>
                <w:i/>
                <w:color w:val="auto"/>
                <w:szCs w:val="28"/>
                <w:lang w:val="pt-BR"/>
              </w:rPr>
              <w:t>13</w:t>
            </w:r>
            <w:r w:rsidRPr="00297160">
              <w:rPr>
                <w:i/>
                <w:color w:val="auto"/>
                <w:szCs w:val="28"/>
                <w:lang w:val="pt-BR"/>
              </w:rPr>
              <w:t xml:space="preserve"> tháng</w:t>
            </w:r>
            <w:r>
              <w:rPr>
                <w:i/>
                <w:color w:val="auto"/>
                <w:szCs w:val="28"/>
                <w:lang w:val="pt-BR"/>
              </w:rPr>
              <w:t xml:space="preserve"> 12</w:t>
            </w:r>
            <w:r w:rsidRPr="00297160">
              <w:rPr>
                <w:i/>
                <w:color w:val="auto"/>
                <w:szCs w:val="28"/>
                <w:lang w:val="pt-BR"/>
              </w:rPr>
              <w:t xml:space="preserve"> năm 2016</w:t>
            </w:r>
          </w:p>
        </w:tc>
      </w:tr>
    </w:tbl>
    <w:p w:rsidR="00F356BE" w:rsidRDefault="00F356BE" w:rsidP="00E54FDE">
      <w:pPr>
        <w:tabs>
          <w:tab w:val="left" w:pos="300"/>
        </w:tabs>
        <w:jc w:val="center"/>
        <w:rPr>
          <w:b/>
          <w:color w:val="auto"/>
          <w:szCs w:val="28"/>
        </w:rPr>
      </w:pPr>
    </w:p>
    <w:p w:rsidR="00E54FDE" w:rsidRPr="00F356BE" w:rsidRDefault="00E54FDE" w:rsidP="00E54FDE">
      <w:pPr>
        <w:tabs>
          <w:tab w:val="left" w:pos="300"/>
        </w:tabs>
        <w:jc w:val="center"/>
        <w:rPr>
          <w:rFonts w:eastAsia="Calibri"/>
          <w:b/>
          <w:color w:val="auto"/>
          <w:szCs w:val="28"/>
          <w:lang w:val="vi-VN"/>
        </w:rPr>
      </w:pPr>
      <w:r w:rsidRPr="00F356BE">
        <w:rPr>
          <w:b/>
          <w:color w:val="auto"/>
          <w:szCs w:val="28"/>
          <w:lang w:val="vi-VN"/>
        </w:rPr>
        <w:t>BÁO CÁO</w:t>
      </w:r>
    </w:p>
    <w:p w:rsidR="00F356BE" w:rsidRDefault="00E54FDE" w:rsidP="00E54FDE">
      <w:pPr>
        <w:jc w:val="center"/>
        <w:rPr>
          <w:b/>
          <w:color w:val="auto"/>
          <w:szCs w:val="28"/>
          <w:lang w:val="pt-BR"/>
        </w:rPr>
      </w:pPr>
      <w:r w:rsidRPr="00F356BE">
        <w:rPr>
          <w:b/>
          <w:color w:val="auto"/>
          <w:szCs w:val="28"/>
          <w:lang w:val="vi-VN"/>
        </w:rPr>
        <w:t xml:space="preserve">Thẩm tra báo cáo </w:t>
      </w:r>
      <w:r w:rsidRPr="00F356BE">
        <w:rPr>
          <w:b/>
          <w:color w:val="auto"/>
          <w:szCs w:val="28"/>
          <w:lang w:val="pt-BR"/>
        </w:rPr>
        <w:t xml:space="preserve">thực hiện công tác thanh tra, kiểm tra phòng, </w:t>
      </w:r>
    </w:p>
    <w:p w:rsidR="00E54FDE" w:rsidRPr="00F356BE" w:rsidRDefault="00E54FDE" w:rsidP="00E54FDE">
      <w:pPr>
        <w:jc w:val="center"/>
        <w:rPr>
          <w:b/>
          <w:color w:val="auto"/>
          <w:szCs w:val="28"/>
          <w:lang w:val="pt-BR"/>
        </w:rPr>
      </w:pPr>
      <w:r w:rsidRPr="00F356BE">
        <w:rPr>
          <w:b/>
          <w:color w:val="auto"/>
          <w:szCs w:val="28"/>
          <w:lang w:val="pt-BR"/>
        </w:rPr>
        <w:t xml:space="preserve">chống tham nhũng </w:t>
      </w:r>
      <w:r w:rsidRPr="00F356BE">
        <w:rPr>
          <w:b/>
          <w:color w:val="auto"/>
          <w:szCs w:val="28"/>
          <w:lang w:val="vi-VN"/>
        </w:rPr>
        <w:t xml:space="preserve">năm 2016 </w:t>
      </w:r>
      <w:r w:rsidRPr="00F356BE">
        <w:rPr>
          <w:b/>
          <w:color w:val="auto"/>
          <w:szCs w:val="28"/>
          <w:lang w:val="pt-BR"/>
        </w:rPr>
        <w:t xml:space="preserve">và phương hướng nhiệm vụ năm 2017 </w:t>
      </w:r>
    </w:p>
    <w:p w:rsidR="00E54FDE" w:rsidRPr="00F356BE" w:rsidRDefault="00E54FDE" w:rsidP="00E54FDE">
      <w:pPr>
        <w:jc w:val="both"/>
        <w:rPr>
          <w:b/>
          <w:color w:val="auto"/>
          <w:szCs w:val="28"/>
          <w:lang w:val="pt-BR"/>
        </w:rPr>
      </w:pPr>
      <w:r w:rsidRPr="00F356BE">
        <w:rPr>
          <w:color w:val="auto"/>
          <w:szCs w:val="28"/>
        </w:rPr>
        <w:pict>
          <v:line id="_x0000_s1028" style="position:absolute;left:0;text-align:left;z-index:251662336" from="198.9pt,.75pt" to="267.7pt,.75pt"/>
        </w:pict>
      </w:r>
      <w:r w:rsidRPr="00F356BE">
        <w:rPr>
          <w:b/>
          <w:color w:val="auto"/>
          <w:szCs w:val="28"/>
          <w:lang w:val="pt-BR"/>
        </w:rPr>
        <w:t xml:space="preserve">       </w:t>
      </w:r>
    </w:p>
    <w:p w:rsidR="00E54FDE" w:rsidRPr="00F356BE" w:rsidRDefault="00E54FDE" w:rsidP="00E54FDE">
      <w:pPr>
        <w:spacing w:before="60" w:after="60"/>
        <w:ind w:firstLine="709"/>
        <w:jc w:val="both"/>
        <w:rPr>
          <w:b/>
          <w:color w:val="auto"/>
          <w:spacing w:val="-8"/>
          <w:szCs w:val="28"/>
          <w:lang w:val="pt-BR"/>
        </w:rPr>
      </w:pPr>
      <w:r w:rsidRPr="00F356BE">
        <w:rPr>
          <w:color w:val="auto"/>
          <w:szCs w:val="28"/>
          <w:lang w:val="pt-BR"/>
        </w:rPr>
        <w:t>Thực hiện Luật Tổ chức chính quyền địa phương, Luật hoạt động giám sát của Quốc hội và Hội đồng nhân dân năm 2015, Luật Phòng, chống tham nhũng năm 200.5 và phân công của Thường trực Hội đồng nhân dân huyện. Ban Pháp chế họp  để thẩm tra Báo cáo số 525/BC-UBND ngày 05/12/2016 của Ủy ban nhân dân huyện về công tác thanh tra, kiểm tra phòng, chống tham nhũng (PCTN).  Ban Pháp chế báo cáo Hội đồng nhân dân huyện về kết quả thẩm tra như sau:</w:t>
      </w:r>
    </w:p>
    <w:p w:rsidR="00E54FDE" w:rsidRPr="00F356BE" w:rsidRDefault="00E54FDE" w:rsidP="00E54FDE">
      <w:pPr>
        <w:tabs>
          <w:tab w:val="left" w:pos="993"/>
        </w:tabs>
        <w:spacing w:before="60" w:after="60"/>
        <w:ind w:firstLine="709"/>
        <w:jc w:val="both"/>
        <w:rPr>
          <w:b/>
          <w:color w:val="auto"/>
          <w:szCs w:val="28"/>
          <w:lang w:val="pt-BR"/>
        </w:rPr>
      </w:pPr>
      <w:r w:rsidRPr="00F356BE">
        <w:rPr>
          <w:b/>
          <w:color w:val="auto"/>
          <w:szCs w:val="28"/>
          <w:lang w:val="pt-BR"/>
        </w:rPr>
        <w:t>I. MỘT SỐ VẤN ĐỀ CHUNG CỦA BÁO CÁO</w:t>
      </w:r>
    </w:p>
    <w:p w:rsidR="00E54FDE" w:rsidRPr="00F356BE" w:rsidRDefault="00E54FDE" w:rsidP="00E54FDE">
      <w:pPr>
        <w:spacing w:before="60" w:after="60"/>
        <w:ind w:firstLine="709"/>
        <w:jc w:val="both"/>
        <w:rPr>
          <w:color w:val="auto"/>
          <w:szCs w:val="28"/>
          <w:lang w:val="pt-BR"/>
        </w:rPr>
      </w:pPr>
      <w:r w:rsidRPr="00F356BE">
        <w:rPr>
          <w:color w:val="auto"/>
          <w:szCs w:val="28"/>
          <w:lang w:val="pt-BR"/>
        </w:rPr>
        <w:t>Ban Pháp chế nhận thấy, Báo cáo của Ủy ban nhân dân huyện bố cục chặt chẽ, hợp lý; nội dung báo cáo về cơ bản đã phản ánh sát thực tế tình hình công tác trong năm 2016. Báo cáo đã đi sâu phân tích đánh giá được thực trạng tình hình, những kết quả đạt được, tồn tại, hạn chế và nguyên nhân của những tồn tại, hạn chế trong công tác phòng chống tham nhũng và dự báo tình hình tham nhũng thời gian đến, đồng thời đề ra phương hướng, nhiệm vụ phù hợp để thực hiện trong năm 2017.</w:t>
      </w:r>
    </w:p>
    <w:p w:rsidR="00E54FDE" w:rsidRPr="00F356BE" w:rsidRDefault="00E54FDE" w:rsidP="00E54FDE">
      <w:pPr>
        <w:tabs>
          <w:tab w:val="left" w:pos="3465"/>
        </w:tabs>
        <w:spacing w:before="60" w:after="60"/>
        <w:ind w:firstLine="709"/>
        <w:jc w:val="both"/>
        <w:rPr>
          <w:color w:val="auto"/>
          <w:szCs w:val="28"/>
          <w:lang w:val="pt-BR"/>
        </w:rPr>
      </w:pPr>
      <w:r w:rsidRPr="00F356BE">
        <w:rPr>
          <w:color w:val="auto"/>
          <w:szCs w:val="28"/>
          <w:lang w:val="pt-BR"/>
        </w:rPr>
        <w:t xml:space="preserve">Trong năm 2016, Ủy ban nhân dân huyện tiếp tục tăng cường công tác lãnh đạo, chỉ đạo, triển khai thực hiện các biện pháp PCTN. Cải cách thủ tục hành chính được quan tâm chỉ đạo, triển khai, đã giảm rõ rệt thời gian làm thủ tục hành chính trên một số lĩnh vực; công tác thanh tra, giải quyết khiếu nại, tố cáo tăng cường hơn, đã phát hiện nhiều vi phạm, kiến nghị thu hồi nộp ngân sách Nhà nước. Vai trò của Ủy ban Mặt trận tổ quốc, báo chí và xã hội trong công tác PCTN tiếp tục được phát huy hiệu quả. </w:t>
      </w:r>
    </w:p>
    <w:p w:rsidR="00E54FDE" w:rsidRPr="00F356BE" w:rsidRDefault="00E54FDE" w:rsidP="00E54FDE">
      <w:pPr>
        <w:tabs>
          <w:tab w:val="left" w:pos="3465"/>
        </w:tabs>
        <w:spacing w:before="60" w:after="60"/>
        <w:ind w:firstLine="709"/>
        <w:jc w:val="both"/>
        <w:rPr>
          <w:color w:val="auto"/>
          <w:szCs w:val="28"/>
          <w:lang w:val="vi-VN"/>
        </w:rPr>
      </w:pPr>
      <w:r w:rsidRPr="00F356BE">
        <w:rPr>
          <w:color w:val="auto"/>
          <w:szCs w:val="28"/>
          <w:lang w:val="vi-VN"/>
        </w:rPr>
        <w:t xml:space="preserve">Tuy nhiên, bên cạnh kết quả quan trọng đã đạt được, trong năm 2016 công tác phòng ngừa, phát hiện và xử lý tham nhũng vẫn còn một số hạn chế. Một số biện pháp phòng ngừa tham nhũng hiệu quả thấp. </w:t>
      </w:r>
    </w:p>
    <w:p w:rsidR="00E54FDE" w:rsidRPr="00F356BE" w:rsidRDefault="00E54FDE" w:rsidP="00E54FDE">
      <w:pPr>
        <w:spacing w:before="60" w:after="60"/>
        <w:ind w:firstLine="709"/>
        <w:jc w:val="both"/>
        <w:rPr>
          <w:b/>
          <w:color w:val="auto"/>
          <w:szCs w:val="28"/>
          <w:lang w:val="pt-BR"/>
        </w:rPr>
      </w:pPr>
      <w:r w:rsidRPr="00F356BE">
        <w:rPr>
          <w:b/>
          <w:color w:val="auto"/>
          <w:szCs w:val="28"/>
          <w:lang w:val="pt-BR"/>
        </w:rPr>
        <w:t>II. NHỮNG KẾT QUẢ ĐẠT ĐƯỢC</w:t>
      </w:r>
    </w:p>
    <w:p w:rsidR="00E54FDE" w:rsidRPr="00F356BE" w:rsidRDefault="00E54FDE" w:rsidP="00E54FDE">
      <w:pPr>
        <w:tabs>
          <w:tab w:val="left" w:pos="3465"/>
        </w:tabs>
        <w:spacing w:before="60" w:after="60"/>
        <w:ind w:firstLine="709"/>
        <w:jc w:val="both"/>
        <w:rPr>
          <w:color w:val="auto"/>
          <w:szCs w:val="28"/>
          <w:lang w:val="pt-BR"/>
        </w:rPr>
      </w:pPr>
      <w:r w:rsidRPr="00F356BE">
        <w:rPr>
          <w:color w:val="auto"/>
          <w:szCs w:val="28"/>
          <w:lang w:val="vi-VN"/>
        </w:rPr>
        <w:t xml:space="preserve">Ban Pháp chế cơ bản thống nhất các nội dung </w:t>
      </w:r>
      <w:r w:rsidRPr="00F356BE">
        <w:rPr>
          <w:color w:val="auto"/>
          <w:szCs w:val="28"/>
          <w:lang w:val="pt-BR"/>
        </w:rPr>
        <w:t>đ</w:t>
      </w:r>
      <w:r w:rsidRPr="00F356BE">
        <w:rPr>
          <w:color w:val="auto"/>
          <w:szCs w:val="28"/>
          <w:lang w:val="vi-VN"/>
        </w:rPr>
        <w:t xml:space="preserve">ánh giá của Ủy ban nhân dân </w:t>
      </w:r>
      <w:r w:rsidRPr="00F356BE">
        <w:rPr>
          <w:color w:val="auto"/>
          <w:szCs w:val="28"/>
          <w:lang w:val="pt-BR"/>
        </w:rPr>
        <w:t>huyện</w:t>
      </w:r>
      <w:r w:rsidRPr="00F356BE">
        <w:rPr>
          <w:color w:val="auto"/>
          <w:szCs w:val="28"/>
          <w:lang w:val="vi-VN"/>
        </w:rPr>
        <w:t>.</w:t>
      </w:r>
    </w:p>
    <w:p w:rsidR="00E54FDE" w:rsidRPr="00F356BE" w:rsidRDefault="00E54FDE" w:rsidP="00E54FDE">
      <w:pPr>
        <w:pStyle w:val="NormalWeb"/>
        <w:spacing w:before="60" w:after="60"/>
        <w:ind w:firstLine="709"/>
        <w:jc w:val="both"/>
        <w:rPr>
          <w:rFonts w:ascii="Times New Roman" w:hAnsi="Times New Roman"/>
          <w:b/>
          <w:bCs/>
          <w:color w:val="auto"/>
          <w:sz w:val="28"/>
          <w:szCs w:val="28"/>
          <w:lang w:val="pt-BR"/>
        </w:rPr>
      </w:pPr>
      <w:r w:rsidRPr="00F356BE">
        <w:rPr>
          <w:rFonts w:ascii="Times New Roman" w:hAnsi="Times New Roman"/>
          <w:b/>
          <w:bCs/>
          <w:color w:val="auto"/>
          <w:sz w:val="28"/>
          <w:szCs w:val="28"/>
          <w:lang w:val="pt-BR"/>
        </w:rPr>
        <w:t>1.</w:t>
      </w:r>
      <w:r w:rsidRPr="00F356BE">
        <w:rPr>
          <w:rFonts w:ascii="Times New Roman" w:hAnsi="Times New Roman"/>
          <w:color w:val="auto"/>
          <w:sz w:val="28"/>
          <w:szCs w:val="28"/>
          <w:lang w:val="pt-BR"/>
        </w:rPr>
        <w:t xml:space="preserve"> </w:t>
      </w:r>
      <w:r w:rsidRPr="00F356BE">
        <w:rPr>
          <w:rFonts w:ascii="Times New Roman" w:hAnsi="Times New Roman"/>
          <w:b/>
          <w:bCs/>
          <w:color w:val="auto"/>
          <w:sz w:val="28"/>
          <w:szCs w:val="28"/>
          <w:lang w:val="pt-BR"/>
        </w:rPr>
        <w:t>Việc quán triệt, tuyên truyền, phổ biến chủ trương, chính sách, pháp luật về PCTN</w:t>
      </w:r>
    </w:p>
    <w:p w:rsidR="00E54FDE" w:rsidRPr="00F356BE" w:rsidRDefault="00E54FDE" w:rsidP="00E54FDE">
      <w:pPr>
        <w:widowControl w:val="0"/>
        <w:tabs>
          <w:tab w:val="left" w:pos="3465"/>
        </w:tabs>
        <w:spacing w:before="60" w:after="60"/>
        <w:ind w:firstLine="709"/>
        <w:jc w:val="both"/>
        <w:rPr>
          <w:color w:val="auto"/>
          <w:szCs w:val="28"/>
          <w:lang w:val="vi-VN"/>
        </w:rPr>
      </w:pPr>
      <w:r w:rsidRPr="00F356BE">
        <w:rPr>
          <w:color w:val="auto"/>
          <w:szCs w:val="28"/>
          <w:lang w:val="pt-BR"/>
        </w:rPr>
        <w:t xml:space="preserve">UBND huyện tiếp tục chỉ đạo, định hướng các cơ quan, đơn vị, các xã nội dung tuyên truyền, phổ biến, giáo dục tập trung vào việc quán triệt, phổ biến </w:t>
      </w:r>
      <w:r w:rsidRPr="00F356BE">
        <w:rPr>
          <w:bCs/>
          <w:color w:val="auto"/>
          <w:szCs w:val="28"/>
          <w:lang w:val="pt-BR"/>
        </w:rPr>
        <w:t>Nghị quyết Trung ương 4 (khóa XI); Kết luận Hội nghị Trung ương 5 (khóa XI) tăng cường sự lãnh đạo của Đảng đối với công tác PCTN, lãng phí; Luật sửa đổi, bổ sung một số điều của Luật PCTN;</w:t>
      </w:r>
      <w:r w:rsidRPr="00F356BE">
        <w:rPr>
          <w:bCs/>
          <w:color w:val="auto"/>
          <w:spacing w:val="-2"/>
          <w:szCs w:val="28"/>
          <w:lang w:val="pt-BR"/>
        </w:rPr>
        <w:t xml:space="preserve"> các văn bản của Chính phủ, Thủ tướng Chính </w:t>
      </w:r>
      <w:r w:rsidRPr="00F356BE">
        <w:rPr>
          <w:bCs/>
          <w:color w:val="auto"/>
          <w:spacing w:val="-2"/>
          <w:szCs w:val="28"/>
          <w:lang w:val="pt-BR"/>
        </w:rPr>
        <w:lastRenderedPageBreak/>
        <w:t>phủ và các bộ, ngành chức năng quy định chi tiết và hướng dẫn thi hành một số điều của Luật PCTN với nhiều hình thức,</w:t>
      </w:r>
      <w:r w:rsidRPr="00F356BE">
        <w:rPr>
          <w:color w:val="auto"/>
          <w:szCs w:val="28"/>
          <w:lang w:val="vi-VN"/>
        </w:rPr>
        <w:t xml:space="preserve"> phương pháp thực hiện. Qua đó, đã góp phần nâng cao nhận thức của cán bộ, công chức, viên chức và nhân dân vào quyết tâm PCTN, tăng cường trách nhiệm của cán bộ công chức và nhân dân trong phát hiện, tố cáo hành vi tham nhũng.</w:t>
      </w:r>
    </w:p>
    <w:p w:rsidR="00E54FDE" w:rsidRPr="00F356BE" w:rsidRDefault="00E54FDE" w:rsidP="00E54FDE">
      <w:pPr>
        <w:pStyle w:val="NormalWeb"/>
        <w:spacing w:before="60" w:after="60"/>
        <w:ind w:firstLine="709"/>
        <w:jc w:val="both"/>
        <w:rPr>
          <w:rFonts w:ascii="Times New Roman" w:hAnsi="Times New Roman"/>
          <w:b/>
          <w:color w:val="auto"/>
          <w:sz w:val="28"/>
          <w:szCs w:val="28"/>
          <w:lang w:val="pt-BR"/>
        </w:rPr>
      </w:pPr>
      <w:r w:rsidRPr="00F356BE">
        <w:rPr>
          <w:rFonts w:ascii="Times New Roman" w:hAnsi="Times New Roman"/>
          <w:b/>
          <w:color w:val="auto"/>
          <w:sz w:val="28"/>
          <w:szCs w:val="28"/>
          <w:lang w:val="pt-BR"/>
        </w:rPr>
        <w:t>2. Thực hiện các giải pháp phòng ngừa tham nhũng</w:t>
      </w:r>
    </w:p>
    <w:p w:rsidR="00E54FDE" w:rsidRPr="00F356BE" w:rsidRDefault="00E54FDE" w:rsidP="00E54FDE">
      <w:pPr>
        <w:tabs>
          <w:tab w:val="left" w:pos="3465"/>
        </w:tabs>
        <w:spacing w:before="60" w:after="60"/>
        <w:ind w:firstLine="709"/>
        <w:jc w:val="both"/>
        <w:rPr>
          <w:color w:val="auto"/>
          <w:szCs w:val="28"/>
          <w:lang w:val="vi-VN"/>
        </w:rPr>
      </w:pPr>
      <w:r w:rsidRPr="00F356BE">
        <w:rPr>
          <w:color w:val="auto"/>
          <w:szCs w:val="28"/>
          <w:lang w:val="vi-VN"/>
        </w:rPr>
        <w:t>Ủy ban nhân dân</w:t>
      </w:r>
      <w:r w:rsidRPr="00F356BE">
        <w:rPr>
          <w:color w:val="auto"/>
          <w:szCs w:val="28"/>
          <w:lang w:val="pt-BR"/>
        </w:rPr>
        <w:t xml:space="preserve"> huyện </w:t>
      </w:r>
      <w:r w:rsidRPr="00F356BE">
        <w:rPr>
          <w:color w:val="auto"/>
          <w:szCs w:val="28"/>
          <w:lang w:val="vi-VN"/>
        </w:rPr>
        <w:t>đã ban hành nhiều văn bản</w:t>
      </w:r>
      <w:r w:rsidRPr="00F356BE">
        <w:rPr>
          <w:color w:val="auto"/>
          <w:szCs w:val="28"/>
          <w:vertAlign w:val="superscript"/>
        </w:rPr>
        <w:t>(</w:t>
      </w:r>
      <w:r w:rsidRPr="00F356BE">
        <w:rPr>
          <w:rStyle w:val="FootnoteReference"/>
          <w:color w:val="auto"/>
          <w:szCs w:val="28"/>
          <w:lang w:val="vi-VN"/>
        </w:rPr>
        <w:footnoteReference w:id="2"/>
      </w:r>
      <w:r w:rsidRPr="00F356BE">
        <w:rPr>
          <w:color w:val="auto"/>
          <w:szCs w:val="28"/>
          <w:vertAlign w:val="superscript"/>
        </w:rPr>
        <w:t>)</w:t>
      </w:r>
      <w:r w:rsidRPr="00F356BE">
        <w:rPr>
          <w:color w:val="auto"/>
          <w:szCs w:val="28"/>
          <w:lang w:val="pt-BR"/>
        </w:rPr>
        <w:t xml:space="preserve"> </w:t>
      </w:r>
      <w:r w:rsidRPr="00F356BE">
        <w:rPr>
          <w:color w:val="auto"/>
          <w:szCs w:val="28"/>
          <w:lang w:val="vi-VN"/>
        </w:rPr>
        <w:t>triển khai thực hiện Luật PCTN và Luật sửa đổi, bổ sung một số điều của Luật PCTN. Các biện pháp PCTN được triển khai đầy đủ, trong đó có biện pháp đạt kết quả tích cực trong phòng ngừa tham nhũng như cải cách thủ tục hành chính, công khai minh bạch hoạt động của cơ quan, tổ chức, đơn vị. Xây dựng, ban hành, thực hiện các chế độ, định mức, tiêu chuẩn; xây dựng và thực hiện quy tắc ứng xử, nộp lại quà tặng của cán bộ,công chức, viên chức; thực hiện chuyển đổi vị trí công tác; thực hiện các quy định về minh bạch tài sản, thu nhập; tăng cường áp dụng khoa học công nghệ trong quản lý điều hành hoạt động của các cơ quan, tổ chức, đơn vị. Qua đó đã từng bước nâng cao nhận thức và trách nhiệm của cán bộ, công chức, viên chức góp phần phòng ngừa, ngăn chặn hành vi tham nhũng, củng cố lòng tin của nhân dân đối với hoạt động PCTN.</w:t>
      </w:r>
    </w:p>
    <w:p w:rsidR="00E54FDE" w:rsidRPr="00F356BE" w:rsidRDefault="00E54FDE" w:rsidP="00E54FDE">
      <w:pPr>
        <w:widowControl w:val="0"/>
        <w:spacing w:before="60" w:after="60"/>
        <w:ind w:firstLine="709"/>
        <w:jc w:val="both"/>
        <w:rPr>
          <w:color w:val="auto"/>
          <w:szCs w:val="28"/>
          <w:lang w:val="pt-BR"/>
        </w:rPr>
      </w:pPr>
      <w:r w:rsidRPr="00F356BE">
        <w:rPr>
          <w:color w:val="auto"/>
          <w:szCs w:val="28"/>
          <w:lang w:val="pt-BR"/>
        </w:rPr>
        <w:t>Nhìn chung, việc tổ chức thực hiện của các cơ quan, đơn vị đã thực sự mang lại hiệu quả, tạo chuyển biến mạnh mẽ trong giải quyết công việc của các cơ quan, đơn vị, góp phần tích cực trong công tác phòng, chống tham nhũng và tiêu cực. Trong năm 2016, không có nội dung liên quan đến việc tố cáo gây mất đoàn kết nội bộ trong cơ quan, đơn vị.</w:t>
      </w:r>
    </w:p>
    <w:p w:rsidR="00E54FDE" w:rsidRPr="00F356BE" w:rsidRDefault="00E54FDE" w:rsidP="00E54FDE">
      <w:pPr>
        <w:spacing w:before="60" w:after="60"/>
        <w:ind w:firstLine="709"/>
        <w:jc w:val="both"/>
        <w:rPr>
          <w:b/>
          <w:color w:val="auto"/>
          <w:szCs w:val="28"/>
          <w:lang w:val="pt-BR"/>
        </w:rPr>
      </w:pPr>
      <w:r w:rsidRPr="00F356BE">
        <w:rPr>
          <w:b/>
          <w:color w:val="auto"/>
          <w:szCs w:val="28"/>
          <w:lang w:val="pt-BR"/>
        </w:rPr>
        <w:t>3. Kết quả phát hiện và xử lý tham nhũng</w:t>
      </w:r>
    </w:p>
    <w:p w:rsidR="00E54FDE" w:rsidRPr="00F356BE" w:rsidRDefault="00E54FDE" w:rsidP="00E54FDE">
      <w:pPr>
        <w:pStyle w:val="FootnoteText"/>
        <w:tabs>
          <w:tab w:val="left" w:pos="3465"/>
        </w:tabs>
        <w:spacing w:before="60" w:after="60"/>
        <w:ind w:firstLine="709"/>
        <w:jc w:val="both"/>
        <w:rPr>
          <w:sz w:val="28"/>
          <w:szCs w:val="28"/>
          <w:lang w:val="vi-VN"/>
        </w:rPr>
      </w:pPr>
      <w:r w:rsidRPr="00F356BE">
        <w:rPr>
          <w:sz w:val="28"/>
          <w:szCs w:val="28"/>
          <w:lang w:val="vi-VN"/>
        </w:rPr>
        <w:t>Công tác giải quyết đơn thư khiếu nại, tố cáo luôn được chú trọng thực hiện, kịp thời khôi phục về quyền và lợi ích của công dân khi bị xâm hại. Đồng thời xử lý nghiêm các hành vi vi phạm của cán bộ công chức trong công tác giải quyết đơn thư khiếu nại, tố cáo.</w:t>
      </w:r>
    </w:p>
    <w:p w:rsidR="00E54FDE" w:rsidRPr="00F356BE" w:rsidRDefault="00E54FDE" w:rsidP="00E54FDE">
      <w:pPr>
        <w:spacing w:before="60" w:after="60"/>
        <w:ind w:firstLine="709"/>
        <w:jc w:val="both"/>
        <w:rPr>
          <w:color w:val="auto"/>
          <w:szCs w:val="28"/>
          <w:lang w:val="pt-BR"/>
        </w:rPr>
      </w:pPr>
      <w:r w:rsidRPr="00F356BE">
        <w:rPr>
          <w:color w:val="auto"/>
          <w:szCs w:val="28"/>
          <w:lang w:val="vi-VN"/>
        </w:rPr>
        <w:t>Công tác thanh tra trên các lĩnh vực tiếp tục được tăng cường, qua đó phát hiện nhiều sai phạm và kiến nghị thu hồi cho ngân sách nhà nước</w:t>
      </w:r>
      <w:r w:rsidRPr="00F356BE">
        <w:rPr>
          <w:color w:val="auto"/>
          <w:szCs w:val="28"/>
          <w:vertAlign w:val="superscript"/>
        </w:rPr>
        <w:t>(</w:t>
      </w:r>
      <w:r w:rsidRPr="00F356BE">
        <w:rPr>
          <w:rStyle w:val="FootnoteReference"/>
          <w:color w:val="auto"/>
          <w:szCs w:val="28"/>
          <w:lang w:val="vi-VN"/>
        </w:rPr>
        <w:footnoteReference w:id="3"/>
      </w:r>
      <w:r w:rsidRPr="00F356BE">
        <w:rPr>
          <w:color w:val="auto"/>
          <w:szCs w:val="28"/>
          <w:vertAlign w:val="superscript"/>
        </w:rPr>
        <w:t>)</w:t>
      </w:r>
      <w:r w:rsidRPr="00F356BE">
        <w:rPr>
          <w:color w:val="auto"/>
          <w:szCs w:val="28"/>
          <w:lang w:val="vi-VN"/>
        </w:rPr>
        <w:t xml:space="preserve">. Công tác thanh tra kiểm tra trách nhiệm thực hiện pháp luật phòng chống tham nhũng phát hiện nhiều vi phạm, qua đó đã yêu cầu chấn chỉnh, khắc phục. </w:t>
      </w:r>
      <w:r w:rsidRPr="00F356BE">
        <w:rPr>
          <w:color w:val="auto"/>
          <w:szCs w:val="28"/>
          <w:lang w:val="pt-BR"/>
        </w:rPr>
        <w:t xml:space="preserve">Trong năm 2016, ngoài các cuộc thanh tra theo kế hoạch trong công tác phòng, chống tham nhũng; UBND huyện đã chỉ đạo Thanh tra huyện thực hiện 02 cuộc thanh tra tại Ban Giảm nghèo khu vực Tây nguyên huyện Sa Thầy và hành vi của </w:t>
      </w:r>
      <w:r w:rsidRPr="00F356BE">
        <w:rPr>
          <w:bCs/>
          <w:color w:val="auto"/>
          <w:szCs w:val="28"/>
          <w:lang w:val="pt-BR"/>
        </w:rPr>
        <w:t>Thôn trưởng thôn Sơn An (Tam An) xã Sa Sơn.</w:t>
      </w:r>
      <w:r w:rsidRPr="00F356BE">
        <w:rPr>
          <w:color w:val="auto"/>
          <w:szCs w:val="28"/>
          <w:lang w:val="pt-BR"/>
        </w:rPr>
        <w:t xml:space="preserve"> Kết quả: Tại Ban Giảm nghèo khu vực Tây nguyên huyện Sa Thầy UBND huyện đã chỉ đạo đơn vị tiến hành kiểm điểm, đồng thời </w:t>
      </w:r>
      <w:r w:rsidRPr="00F356BE">
        <w:rPr>
          <w:color w:val="auto"/>
          <w:szCs w:val="28"/>
          <w:lang w:val="pt-BR"/>
        </w:rPr>
        <w:lastRenderedPageBreak/>
        <w:t>thành lập Hội đồng kỷ luật đề xuất hình thức kỷ luật cụ thể đối với tập thể, cá nhân để xảy ra các sai phạm.</w:t>
      </w:r>
    </w:p>
    <w:p w:rsidR="00E54FDE" w:rsidRPr="00F356BE" w:rsidRDefault="00E54FDE" w:rsidP="00E54FDE">
      <w:pPr>
        <w:pStyle w:val="FootnoteText"/>
        <w:tabs>
          <w:tab w:val="left" w:pos="3465"/>
        </w:tabs>
        <w:spacing w:before="60" w:after="60"/>
        <w:ind w:firstLine="709"/>
        <w:jc w:val="both"/>
        <w:rPr>
          <w:sz w:val="28"/>
          <w:szCs w:val="28"/>
          <w:lang w:val="vi-VN"/>
        </w:rPr>
      </w:pPr>
      <w:r w:rsidRPr="00F356BE">
        <w:rPr>
          <w:sz w:val="28"/>
          <w:szCs w:val="28"/>
          <w:lang w:val="vi-VN"/>
        </w:rPr>
        <w:t xml:space="preserve">Vai trò của Ủy ban </w:t>
      </w:r>
      <w:r w:rsidRPr="00F356BE">
        <w:rPr>
          <w:sz w:val="28"/>
          <w:szCs w:val="28"/>
        </w:rPr>
        <w:t>M</w:t>
      </w:r>
      <w:r w:rsidRPr="00F356BE">
        <w:rPr>
          <w:sz w:val="28"/>
          <w:szCs w:val="28"/>
          <w:lang w:val="vi-VN"/>
        </w:rPr>
        <w:t xml:space="preserve">ặt trận Tổ quốc Việt Nam các cấp, các tổ chức chính trị xã hội, xã hội nghề nghiệp và các tổ chức đoàn thể ngày càng được phát huy. </w:t>
      </w:r>
    </w:p>
    <w:p w:rsidR="00E54FDE" w:rsidRPr="00F356BE" w:rsidRDefault="00E54FDE" w:rsidP="00E54FDE">
      <w:pPr>
        <w:spacing w:before="60" w:after="60"/>
        <w:ind w:firstLine="709"/>
        <w:jc w:val="both"/>
        <w:rPr>
          <w:color w:val="auto"/>
          <w:szCs w:val="28"/>
          <w:lang w:val="pt-BR"/>
        </w:rPr>
      </w:pPr>
      <w:r w:rsidRPr="00F356BE">
        <w:rPr>
          <w:b/>
          <w:color w:val="auto"/>
          <w:szCs w:val="28"/>
          <w:lang w:val="pt-BR"/>
        </w:rPr>
        <w:t>III. VỀ HẠN CHẾ, TỒN TẠI</w:t>
      </w:r>
    </w:p>
    <w:p w:rsidR="00E54FDE" w:rsidRPr="00F356BE" w:rsidRDefault="00E54FDE" w:rsidP="00E54FDE">
      <w:pPr>
        <w:tabs>
          <w:tab w:val="left" w:pos="3465"/>
        </w:tabs>
        <w:spacing w:before="60" w:after="60"/>
        <w:ind w:firstLine="709"/>
        <w:jc w:val="both"/>
        <w:rPr>
          <w:bCs/>
          <w:color w:val="auto"/>
          <w:szCs w:val="28"/>
          <w:lang w:val="vi-VN"/>
        </w:rPr>
      </w:pPr>
      <w:r w:rsidRPr="00F356BE">
        <w:rPr>
          <w:bCs/>
          <w:color w:val="auto"/>
          <w:szCs w:val="28"/>
          <w:lang w:val="vi-VN"/>
        </w:rPr>
        <w:t>Công tác tuyên truyền, phổ biến pháp luật nhiều nơi vẫn chưa thiết thực với người dân, đội ngũ cán bộ, công chức, viên chức nên hiệu quả về công tác tuyên truyền mang lại chưa cao.</w:t>
      </w:r>
    </w:p>
    <w:p w:rsidR="00E54FDE" w:rsidRPr="00F356BE" w:rsidRDefault="00E54FDE" w:rsidP="00E54FDE">
      <w:pPr>
        <w:spacing w:before="60" w:after="60"/>
        <w:ind w:firstLine="709"/>
        <w:jc w:val="both"/>
        <w:rPr>
          <w:color w:val="auto"/>
          <w:szCs w:val="28"/>
          <w:lang w:val="pt-BR"/>
        </w:rPr>
      </w:pPr>
      <w:r w:rsidRPr="00F356BE">
        <w:rPr>
          <w:color w:val="auto"/>
          <w:szCs w:val="28"/>
          <w:lang w:val="pt-BR"/>
        </w:rPr>
        <w:t>Công tác kiểm tra, thanh tra thực hiện pháp luật về phòng, chống tham nhũng chưa nhiều, chất lượng kiểm tra, thanh tra chưa sâu; khả năng tự phát hiện tham nhũng trong đơn vị chưa cao. Sự phối hợp giữa các cơ quan chức năng về cung cấp thông tin và tiến độ xử lý tham nhũng chưa đạt yêu cầu.</w:t>
      </w:r>
    </w:p>
    <w:p w:rsidR="00E54FDE" w:rsidRPr="00F356BE" w:rsidRDefault="00E54FDE" w:rsidP="00E54FDE">
      <w:pPr>
        <w:spacing w:before="60" w:after="60"/>
        <w:ind w:firstLine="709"/>
        <w:jc w:val="both"/>
        <w:rPr>
          <w:color w:val="auto"/>
          <w:szCs w:val="28"/>
          <w:lang w:val="pt-BR"/>
        </w:rPr>
      </w:pPr>
      <w:r w:rsidRPr="00F356BE">
        <w:rPr>
          <w:color w:val="auto"/>
          <w:szCs w:val="28"/>
          <w:lang w:val="pt-BR"/>
        </w:rPr>
        <w:t>Việc cụ thể hóa các quy định của pháp luật về phòng, chống tham nhũng vào thực tế địa phương, nhất là tại xã - thị trấn còn lúng túng: mối quan hệ phối hợp giữa các cấp, các ngành, các tổ chức đoàn thể trong công tác phòng, chống tham nhũng chưa rõ nét, chưa tạo nên sức mạnh tổng hợp để việc phòng, chống tham nhũng đạt hiệu quả cao hơn.</w:t>
      </w:r>
    </w:p>
    <w:p w:rsidR="00E54FDE" w:rsidRPr="00F356BE" w:rsidRDefault="00E54FDE" w:rsidP="00E54FDE">
      <w:pPr>
        <w:spacing w:before="60" w:after="60"/>
        <w:ind w:firstLine="709"/>
        <w:jc w:val="both"/>
        <w:rPr>
          <w:b/>
          <w:color w:val="auto"/>
          <w:szCs w:val="28"/>
          <w:lang w:val="pt-BR"/>
        </w:rPr>
      </w:pPr>
      <w:r w:rsidRPr="00F356BE">
        <w:rPr>
          <w:b/>
          <w:color w:val="auto"/>
          <w:szCs w:val="28"/>
          <w:lang w:val="pt-BR"/>
        </w:rPr>
        <w:t>V. PHƯƠNG HƯỚNG NHIỆM VỤ NĂM 2017</w:t>
      </w:r>
    </w:p>
    <w:p w:rsidR="00E54FDE" w:rsidRPr="00F356BE" w:rsidRDefault="00E54FDE" w:rsidP="00E54FDE">
      <w:pPr>
        <w:tabs>
          <w:tab w:val="left" w:pos="3465"/>
        </w:tabs>
        <w:spacing w:before="60" w:after="60"/>
        <w:ind w:firstLine="709"/>
        <w:jc w:val="both"/>
        <w:rPr>
          <w:rStyle w:val="normal-h1"/>
          <w:color w:val="auto"/>
          <w:sz w:val="28"/>
          <w:szCs w:val="28"/>
          <w:lang w:val="vi-VN"/>
        </w:rPr>
      </w:pPr>
      <w:r w:rsidRPr="00F356BE">
        <w:rPr>
          <w:rStyle w:val="normal-h1"/>
          <w:color w:val="auto"/>
          <w:sz w:val="28"/>
          <w:szCs w:val="28"/>
          <w:lang w:val="vi-VN"/>
        </w:rPr>
        <w:t>Ban Pháp chế tán thành với phương hướng, nhiệm vụ của Ủy ban nhân dân huyện</w:t>
      </w:r>
      <w:r w:rsidRPr="00F356BE">
        <w:rPr>
          <w:rStyle w:val="normal-h1"/>
          <w:color w:val="auto"/>
          <w:sz w:val="28"/>
          <w:szCs w:val="28"/>
          <w:lang w:val="pt-BR"/>
        </w:rPr>
        <w:t xml:space="preserve"> </w:t>
      </w:r>
      <w:r w:rsidRPr="00F356BE">
        <w:rPr>
          <w:rStyle w:val="normal-h1"/>
          <w:color w:val="auto"/>
          <w:sz w:val="28"/>
          <w:szCs w:val="28"/>
          <w:lang w:val="vi-VN"/>
        </w:rPr>
        <w:t xml:space="preserve">trong công tác PCTN thời gian tới. Bên cạnh các giải pháp có tính chất phòng ngừa thì cùng Tòa án nhân dân, Viện kiểm sát nhân dân huyện cần tập trung hơn nữa các giải pháp để nâng cao hiệu quả công tác phát hiện và xử lý hành vi tham nhũng. </w:t>
      </w:r>
    </w:p>
    <w:p w:rsidR="00E54FDE" w:rsidRPr="00F356BE" w:rsidRDefault="00E54FDE" w:rsidP="00E54FDE">
      <w:pPr>
        <w:spacing w:before="60" w:after="60"/>
        <w:ind w:firstLine="709"/>
        <w:jc w:val="both"/>
        <w:rPr>
          <w:color w:val="auto"/>
          <w:szCs w:val="28"/>
          <w:lang w:val="it-IT"/>
        </w:rPr>
      </w:pPr>
      <w:r w:rsidRPr="00F356BE">
        <w:rPr>
          <w:color w:val="auto"/>
          <w:szCs w:val="28"/>
          <w:lang w:val="pt-BR"/>
        </w:rPr>
        <w:t>Đề nghị Ủy ban nhân dân huyện chỉ đạo khắc phục những tồn tại, hạn chế của báo cáo đã nêu và ý kiến tham gia của Ban Pháp ch</w:t>
      </w:r>
      <w:r w:rsidRPr="00F356BE">
        <w:rPr>
          <w:color w:val="auto"/>
          <w:szCs w:val="28"/>
          <w:lang w:val="it-IT"/>
        </w:rPr>
        <w:t>ế.</w:t>
      </w:r>
    </w:p>
    <w:p w:rsidR="00E54FDE" w:rsidRPr="00F356BE" w:rsidRDefault="00E54FDE" w:rsidP="00E54FDE">
      <w:pPr>
        <w:spacing w:before="60" w:after="60"/>
        <w:ind w:firstLine="709"/>
        <w:jc w:val="both"/>
        <w:rPr>
          <w:color w:val="auto"/>
          <w:szCs w:val="28"/>
          <w:lang w:val="pt-BR"/>
        </w:rPr>
      </w:pPr>
      <w:r w:rsidRPr="00F356BE">
        <w:rPr>
          <w:color w:val="auto"/>
          <w:szCs w:val="28"/>
          <w:lang w:val="pt-BR"/>
        </w:rPr>
        <w:t>Trên đây là nội dung báo cáo thẩm tra của Ban pháp chế Kết quả thực hiện công tác thanh tra, kiểm tra phòng chống tham nhũng trong năm 2016 và phương hướng nhiệm vụ năm 2017 trình kỳ họp thứ 3 HĐND huyện khóa X, nhiệm kỳ 2016-2021, để các vị Đại biểu HĐND huyện có thêm cơ sở xem xét, thảo luận./.</w:t>
      </w:r>
    </w:p>
    <w:p w:rsidR="00E54FDE" w:rsidRPr="00F356BE" w:rsidRDefault="00E54FDE" w:rsidP="00E54FDE">
      <w:pPr>
        <w:spacing w:before="60" w:after="60"/>
        <w:ind w:firstLine="709"/>
        <w:jc w:val="both"/>
        <w:rPr>
          <w:color w:val="auto"/>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758"/>
      </w:tblGrid>
      <w:tr w:rsidR="00E54FDE" w:rsidTr="00F356BE">
        <w:trPr>
          <w:trHeight w:val="2002"/>
        </w:trPr>
        <w:tc>
          <w:tcPr>
            <w:tcW w:w="4626" w:type="dxa"/>
          </w:tcPr>
          <w:p w:rsidR="00E54FDE" w:rsidRPr="00FE22F1" w:rsidRDefault="00E54FDE"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E54FDE" w:rsidRPr="00FE22F1" w:rsidRDefault="00E54FDE"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E54FDE" w:rsidRPr="00FE22F1" w:rsidRDefault="00E54FDE" w:rsidP="00A0534C">
            <w:pPr>
              <w:rPr>
                <w:color w:val="auto"/>
                <w:sz w:val="22"/>
                <w:lang w:val="pt-BR"/>
              </w:rPr>
            </w:pPr>
            <w:r w:rsidRPr="00FE22F1">
              <w:rPr>
                <w:color w:val="auto"/>
                <w:sz w:val="22"/>
                <w:lang w:val="pt-BR"/>
              </w:rPr>
              <w:t>- TT HĐND huyện;</w:t>
            </w:r>
          </w:p>
          <w:p w:rsidR="00E54FDE" w:rsidRPr="00FE22F1" w:rsidRDefault="00E54FDE" w:rsidP="00A0534C">
            <w:pPr>
              <w:rPr>
                <w:color w:val="auto"/>
                <w:sz w:val="22"/>
                <w:lang w:val="pt-BR"/>
              </w:rPr>
            </w:pPr>
            <w:r w:rsidRPr="00FE22F1">
              <w:rPr>
                <w:color w:val="auto"/>
                <w:sz w:val="22"/>
                <w:lang w:val="pt-BR"/>
              </w:rPr>
              <w:t xml:space="preserve">- Lãnh đạo UBND huyện; </w:t>
            </w:r>
          </w:p>
          <w:p w:rsidR="00E54FDE" w:rsidRPr="00FE22F1" w:rsidRDefault="00E54FDE" w:rsidP="00A0534C">
            <w:pPr>
              <w:rPr>
                <w:color w:val="auto"/>
                <w:sz w:val="22"/>
                <w:lang w:val="pt-BR"/>
              </w:rPr>
            </w:pPr>
            <w:r w:rsidRPr="00FE22F1">
              <w:rPr>
                <w:color w:val="auto"/>
                <w:sz w:val="22"/>
                <w:lang w:val="pt-BR"/>
              </w:rPr>
              <w:t>- Văn phòng HĐND - UBND huyện;</w:t>
            </w:r>
          </w:p>
          <w:p w:rsidR="00E54FDE" w:rsidRPr="00FE22F1" w:rsidRDefault="00E54FDE" w:rsidP="00A0534C">
            <w:pPr>
              <w:rPr>
                <w:color w:val="auto"/>
                <w:sz w:val="22"/>
                <w:lang w:val="pt-BR"/>
              </w:rPr>
            </w:pPr>
            <w:r w:rsidRPr="00FE22F1">
              <w:rPr>
                <w:color w:val="auto"/>
                <w:sz w:val="22"/>
                <w:lang w:val="pt-BR"/>
              </w:rPr>
              <w:t>- Lưu</w:t>
            </w:r>
            <w:r>
              <w:rPr>
                <w:color w:val="auto"/>
                <w:sz w:val="22"/>
                <w:lang w:val="pt-BR"/>
              </w:rPr>
              <w:t>: VT, BPC</w:t>
            </w:r>
            <w:r w:rsidRPr="00FE22F1">
              <w:rPr>
                <w:color w:val="auto"/>
                <w:sz w:val="22"/>
                <w:lang w:val="pt-BR"/>
              </w:rPr>
              <w:t>.</w:t>
            </w:r>
          </w:p>
          <w:p w:rsidR="00E54FDE" w:rsidRPr="00FE22F1" w:rsidRDefault="00E54FDE" w:rsidP="00A0534C">
            <w:pPr>
              <w:spacing w:before="60" w:after="60"/>
              <w:rPr>
                <w:color w:val="auto"/>
                <w:sz w:val="26"/>
                <w:szCs w:val="26"/>
                <w:lang w:val="pt-BR"/>
              </w:rPr>
            </w:pPr>
          </w:p>
        </w:tc>
        <w:tc>
          <w:tcPr>
            <w:tcW w:w="4758" w:type="dxa"/>
          </w:tcPr>
          <w:p w:rsidR="00E54FDE" w:rsidRPr="00FE22F1" w:rsidRDefault="00E54FDE" w:rsidP="00A0534C">
            <w:pPr>
              <w:jc w:val="center"/>
              <w:rPr>
                <w:b/>
                <w:color w:val="auto"/>
                <w:sz w:val="26"/>
                <w:szCs w:val="26"/>
                <w:lang w:val="pt-BR"/>
              </w:rPr>
            </w:pPr>
            <w:r w:rsidRPr="00FE22F1">
              <w:rPr>
                <w:b/>
                <w:color w:val="auto"/>
                <w:sz w:val="26"/>
                <w:szCs w:val="26"/>
                <w:lang w:val="pt-BR"/>
              </w:rPr>
              <w:t>TM. BAN PHÁP CHẾ</w:t>
            </w:r>
          </w:p>
          <w:p w:rsidR="00E54FDE" w:rsidRPr="00FE22F1" w:rsidRDefault="00E54FDE" w:rsidP="00A0534C">
            <w:pPr>
              <w:jc w:val="center"/>
              <w:rPr>
                <w:b/>
                <w:color w:val="auto"/>
                <w:sz w:val="26"/>
                <w:szCs w:val="26"/>
                <w:lang w:val="pt-BR"/>
              </w:rPr>
            </w:pPr>
            <w:r w:rsidRPr="00FE22F1">
              <w:rPr>
                <w:b/>
                <w:color w:val="auto"/>
                <w:sz w:val="26"/>
                <w:szCs w:val="26"/>
                <w:lang w:val="pt-BR"/>
              </w:rPr>
              <w:t>TRƯỞNG BAN</w:t>
            </w:r>
          </w:p>
          <w:p w:rsidR="00E54FDE" w:rsidRPr="00FE22F1" w:rsidRDefault="00E54FDE" w:rsidP="00A0534C">
            <w:pPr>
              <w:jc w:val="center"/>
              <w:rPr>
                <w:b/>
                <w:color w:val="auto"/>
                <w:sz w:val="26"/>
                <w:szCs w:val="26"/>
                <w:lang w:val="pt-BR"/>
              </w:rPr>
            </w:pPr>
            <w:r w:rsidRPr="00FE22F1">
              <w:rPr>
                <w:b/>
                <w:color w:val="auto"/>
                <w:sz w:val="26"/>
                <w:szCs w:val="26"/>
                <w:lang w:val="pt-BR"/>
              </w:rPr>
              <w:t>(Đã ký)</w:t>
            </w:r>
          </w:p>
          <w:p w:rsidR="00E54FDE" w:rsidRPr="00FE22F1" w:rsidRDefault="00E54FDE" w:rsidP="00A0534C">
            <w:pPr>
              <w:jc w:val="center"/>
              <w:rPr>
                <w:b/>
                <w:color w:val="auto"/>
                <w:sz w:val="26"/>
                <w:szCs w:val="26"/>
                <w:lang w:val="pt-BR"/>
              </w:rPr>
            </w:pPr>
          </w:p>
          <w:p w:rsidR="00E54FDE" w:rsidRPr="00FE22F1" w:rsidRDefault="00E54FDE" w:rsidP="00A0534C">
            <w:pPr>
              <w:jc w:val="center"/>
              <w:rPr>
                <w:b/>
                <w:color w:val="auto"/>
                <w:sz w:val="26"/>
                <w:szCs w:val="26"/>
                <w:lang w:val="pt-BR"/>
              </w:rPr>
            </w:pPr>
            <w:r w:rsidRPr="00FE22F1">
              <w:rPr>
                <w:b/>
                <w:color w:val="auto"/>
                <w:sz w:val="26"/>
                <w:szCs w:val="26"/>
                <w:lang w:val="pt-BR"/>
              </w:rPr>
              <w:t>Nguyễn Đăng Khoa</w:t>
            </w:r>
          </w:p>
          <w:p w:rsidR="00E54FDE" w:rsidRPr="00FE22F1" w:rsidRDefault="00E54FDE" w:rsidP="00A0534C">
            <w:pPr>
              <w:spacing w:before="60" w:after="60"/>
              <w:rPr>
                <w:color w:val="auto"/>
                <w:sz w:val="26"/>
                <w:szCs w:val="26"/>
                <w:lang w:val="pt-BR"/>
              </w:rPr>
            </w:pPr>
          </w:p>
        </w:tc>
      </w:tr>
    </w:tbl>
    <w:p w:rsidR="00E54FDE" w:rsidRPr="00BF0271" w:rsidRDefault="00E54FDE" w:rsidP="00E54FDE">
      <w:pPr>
        <w:rPr>
          <w:szCs w:val="28"/>
          <w:lang w:val="fi-FI"/>
        </w:rPr>
      </w:pPr>
    </w:p>
    <w:p w:rsidR="00E54FDE" w:rsidRPr="00BF0271" w:rsidRDefault="00E54FDE" w:rsidP="00E54FDE">
      <w:pPr>
        <w:rPr>
          <w:color w:val="FF0000"/>
          <w:szCs w:val="28"/>
          <w:lang w:val="it-IT"/>
        </w:rPr>
      </w:pPr>
      <w:r w:rsidRPr="00BF0271">
        <w:rPr>
          <w:b/>
          <w:i/>
          <w:sz w:val="2"/>
          <w:szCs w:val="2"/>
          <w:lang w:val="it-IT"/>
        </w:rPr>
        <w:t>Nơi nhận:</w:t>
      </w:r>
      <w:r w:rsidRPr="00BF0271">
        <w:rPr>
          <w:b/>
          <w:i/>
          <w:szCs w:val="28"/>
          <w:lang w:val="it-IT"/>
        </w:rPr>
        <w:tab/>
      </w:r>
      <w:r w:rsidRPr="00BF0271">
        <w:rPr>
          <w:szCs w:val="28"/>
          <w:lang w:val="it-IT"/>
        </w:rPr>
        <w:tab/>
      </w:r>
      <w:r w:rsidRPr="00BF0271">
        <w:rPr>
          <w:szCs w:val="28"/>
          <w:lang w:val="it-IT"/>
        </w:rPr>
        <w:tab/>
      </w:r>
      <w:r w:rsidRPr="00BF0271">
        <w:rPr>
          <w:szCs w:val="28"/>
          <w:lang w:val="it-IT"/>
        </w:rPr>
        <w:tab/>
      </w:r>
      <w:r w:rsidRPr="00BF0271">
        <w:rPr>
          <w:szCs w:val="28"/>
          <w:lang w:val="it-IT"/>
        </w:rPr>
        <w:tab/>
      </w:r>
      <w:r w:rsidRPr="00BF0271">
        <w:rPr>
          <w:szCs w:val="28"/>
          <w:lang w:val="it-IT"/>
        </w:rPr>
        <w:tab/>
      </w:r>
      <w:r w:rsidRPr="00BF0271">
        <w:rPr>
          <w:szCs w:val="28"/>
          <w:lang w:val="it-IT"/>
        </w:rPr>
        <w:tab/>
      </w:r>
    </w:p>
    <w:p w:rsidR="00E54FDE" w:rsidRDefault="00E54FDE" w:rsidP="00E54FDE">
      <w:pPr>
        <w:spacing w:before="120" w:after="120"/>
        <w:jc w:val="both"/>
        <w:rPr>
          <w:color w:val="auto"/>
          <w:sz w:val="26"/>
          <w:szCs w:val="26"/>
          <w:lang w:val="pt-BR"/>
        </w:rPr>
      </w:pPr>
      <w:r>
        <w:rPr>
          <w:color w:val="auto"/>
          <w:sz w:val="26"/>
          <w:szCs w:val="26"/>
          <w:lang w:val="pt-BR"/>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B7D" w:rsidRDefault="00975B7D" w:rsidP="00E54FDE">
      <w:r>
        <w:separator/>
      </w:r>
    </w:p>
  </w:endnote>
  <w:endnote w:type="continuationSeparator" w:id="1">
    <w:p w:rsidR="00975B7D" w:rsidRDefault="00975B7D" w:rsidP="00E54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B7D" w:rsidRDefault="00975B7D" w:rsidP="00E54FDE">
      <w:r>
        <w:separator/>
      </w:r>
    </w:p>
  </w:footnote>
  <w:footnote w:type="continuationSeparator" w:id="1">
    <w:p w:rsidR="00975B7D" w:rsidRDefault="00975B7D" w:rsidP="00E54FDE">
      <w:r>
        <w:continuationSeparator/>
      </w:r>
    </w:p>
  </w:footnote>
  <w:footnote w:id="2">
    <w:p w:rsidR="00E54FDE" w:rsidRDefault="00E54FDE" w:rsidP="00E54FDE">
      <w:pPr>
        <w:pStyle w:val="FootnoteText"/>
        <w:ind w:firstLine="567"/>
        <w:jc w:val="both"/>
      </w:pPr>
      <w:r>
        <w:rPr>
          <w:vertAlign w:val="superscript"/>
        </w:rPr>
        <w:t>(</w:t>
      </w:r>
      <w:r>
        <w:rPr>
          <w:rStyle w:val="FootnoteReference"/>
        </w:rPr>
        <w:footnoteRef/>
      </w:r>
      <w:r>
        <w:rPr>
          <w:vertAlign w:val="superscript"/>
        </w:rPr>
        <w:t>)</w:t>
      </w:r>
      <w:r>
        <w:t xml:space="preserve"> Công văn số 516/UBND-TH ngày 10/5/2016; Công văn số 1380/UBND-TH ngày 17/11/2016; Công văn số 502/UBND-TH ngày 06/5/2016; Công văn số 521/UBND-TH ngày 10/5/2016; Công văn số 769/UBND-TH ngày 14/7/2016; Công văn số 981/UBND-TH ngày 05/9/2016.</w:t>
      </w:r>
    </w:p>
  </w:footnote>
  <w:footnote w:id="3">
    <w:p w:rsidR="00E54FDE" w:rsidRDefault="00E54FDE" w:rsidP="00E54FDE">
      <w:pPr>
        <w:pStyle w:val="FootnoteText"/>
        <w:ind w:firstLine="567"/>
        <w:jc w:val="both"/>
        <w:rPr>
          <w:lang w:val="pt-BR"/>
        </w:rPr>
      </w:pPr>
      <w:r>
        <w:rPr>
          <w:vertAlign w:val="superscript"/>
        </w:rPr>
        <w:t>(</w:t>
      </w:r>
      <w:r>
        <w:rPr>
          <w:rStyle w:val="FootnoteReference"/>
        </w:rPr>
        <w:footnoteRef/>
      </w:r>
      <w:r>
        <w:rPr>
          <w:vertAlign w:val="superscript"/>
        </w:rPr>
        <w:t>)</w:t>
      </w:r>
      <w:r>
        <w:t xml:space="preserve"> </w:t>
      </w:r>
      <w:r>
        <w:rPr>
          <w:lang w:val="pt-BR"/>
        </w:rPr>
        <w:t>Qua thanh tra đã phát hiện một số thiếu sót trong công tác thẩm định giá; công tác quản lý đấu thầu, đăng tải thông tin đấu thầu và kết quả lựa chọn nhà thầu, thanh toán vượt khối lượng thực tế, đã kiến nghị thu hồi nộp ngân sách nhà nước số tiền sai phạm; xử lý hành chính với hình thức kiểm điểm trách nhiệm đối với tập thể và các cá nhân có liên quan. Kết quả thu hồi nộp ngân sách nhà nước sau thanh tra: 74.213.000 đồng.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54FDE"/>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5B7D"/>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54FDE"/>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356BE"/>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E"/>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E54FDE"/>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E54FDE"/>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E54FDE"/>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E54FDE"/>
    <w:rPr>
      <w:vertAlign w:val="superscript"/>
    </w:rPr>
  </w:style>
  <w:style w:type="table" w:styleId="TableGrid">
    <w:name w:val="Table Grid"/>
    <w:basedOn w:val="TableNormal"/>
    <w:rsid w:val="00E54FD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h1">
    <w:name w:val="normal-h1"/>
    <w:rsid w:val="00E54FDE"/>
    <w:rPr>
      <w:rFonts w:ascii="Times New Roman" w:hAnsi="Times New Roman" w:cs="Times New Roman" w:hint="default"/>
      <w:color w:val="0000FF"/>
      <w:sz w:val="24"/>
      <w:szCs w:val="24"/>
    </w:rPr>
  </w:style>
  <w:style w:type="character" w:customStyle="1" w:styleId="NormalWebChar1">
    <w:name w:val="Normal (Web) Char1"/>
    <w:aliases w:val="Normal (Web) Char Char"/>
    <w:link w:val="NormalWeb"/>
    <w:rsid w:val="00E54FDE"/>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6154</Characters>
  <Application>Microsoft Office Word</Application>
  <DocSecurity>0</DocSecurity>
  <Lines>51</Lines>
  <Paragraphs>14</Paragraphs>
  <ScaleCrop>false</ScaleCrop>
  <Company>Sky123.Org</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2018-05-10T12:45:00Z</dcterms:created>
  <dcterms:modified xsi:type="dcterms:W3CDTF">2018-05-10T12:47:00Z</dcterms:modified>
</cp:coreProperties>
</file>