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9" w:type="dxa"/>
        <w:jc w:val="center"/>
        <w:tblInd w:w="510" w:type="dxa"/>
        <w:tblLayout w:type="fixed"/>
        <w:tblLook w:val="0000"/>
      </w:tblPr>
      <w:tblGrid>
        <w:gridCol w:w="3103"/>
        <w:gridCol w:w="6316"/>
      </w:tblGrid>
      <w:tr w:rsidR="00B974E8" w:rsidRPr="00B974E8" w:rsidTr="00B974E8">
        <w:trPr>
          <w:trHeight w:val="850"/>
          <w:jc w:val="center"/>
        </w:trPr>
        <w:tc>
          <w:tcPr>
            <w:tcW w:w="3103" w:type="dxa"/>
          </w:tcPr>
          <w:p w:rsidR="00B974E8" w:rsidRPr="00B974E8" w:rsidRDefault="00B974E8" w:rsidP="00B974E8">
            <w:pPr>
              <w:pStyle w:val="Heading2"/>
              <w:spacing w:before="0"/>
              <w:ind w:left="62"/>
              <w:jc w:val="center"/>
              <w:rPr>
                <w:rFonts w:ascii="Times New Roman" w:hAnsi="Times New Roman" w:cs="Times New Roman"/>
                <w:color w:val="auto"/>
              </w:rPr>
            </w:pPr>
            <w:r w:rsidRPr="00B974E8">
              <w:rPr>
                <w:rFonts w:ascii="Times New Roman" w:hAnsi="Times New Roman" w:cs="Times New Roman"/>
                <w:color w:val="auto"/>
              </w:rPr>
              <w:t>ỦY BAN NHÂN DÂN</w:t>
            </w:r>
          </w:p>
          <w:p w:rsidR="00B974E8" w:rsidRPr="00B974E8" w:rsidRDefault="00B974E8" w:rsidP="00B974E8">
            <w:pPr>
              <w:pStyle w:val="Heading2"/>
              <w:spacing w:before="0"/>
              <w:ind w:left="62"/>
              <w:jc w:val="center"/>
              <w:rPr>
                <w:rFonts w:ascii="Times New Roman" w:hAnsi="Times New Roman" w:cs="Times New Roman"/>
                <w:color w:val="auto"/>
              </w:rPr>
            </w:pPr>
            <w:r w:rsidRPr="00B974E8">
              <w:rPr>
                <w:rFonts w:ascii="Times New Roman" w:hAnsi="Times New Roman" w:cs="Times New Roman"/>
                <w:b w:val="0"/>
                <w:noProof/>
                <w:color w:val="auto"/>
                <w:sz w:val="28"/>
                <w:szCs w:val="28"/>
              </w:rPr>
              <w:pict>
                <v:line id="_x0000_s1027" style="position:absolute;left:0;text-align:left;z-index:251658240" from="53.1pt,18pt" to="80.1pt,18pt"/>
              </w:pict>
            </w:r>
            <w:r w:rsidRPr="00B974E8">
              <w:rPr>
                <w:rFonts w:ascii="Times New Roman" w:hAnsi="Times New Roman" w:cs="Times New Roman"/>
                <w:color w:val="auto"/>
              </w:rPr>
              <w:t>HUYỆN SA THẦY</w:t>
            </w:r>
          </w:p>
        </w:tc>
        <w:tc>
          <w:tcPr>
            <w:tcW w:w="6316" w:type="dxa"/>
          </w:tcPr>
          <w:p w:rsidR="00B974E8" w:rsidRPr="00B974E8" w:rsidRDefault="00B974E8" w:rsidP="00B974E8">
            <w:pPr>
              <w:pStyle w:val="Heading2"/>
              <w:spacing w:before="0"/>
              <w:jc w:val="center"/>
              <w:rPr>
                <w:rFonts w:ascii="Times New Roman" w:hAnsi="Times New Roman" w:cs="Times New Roman"/>
                <w:color w:val="auto"/>
              </w:rPr>
            </w:pPr>
            <w:r w:rsidRPr="00B974E8">
              <w:rPr>
                <w:rFonts w:ascii="Times New Roman" w:hAnsi="Times New Roman" w:cs="Times New Roman"/>
                <w:color w:val="auto"/>
              </w:rPr>
              <w:t>CỘNG HOÀ XÃ HỘI CHỦ NGHĨA VIỆT NAM</w:t>
            </w:r>
          </w:p>
          <w:p w:rsidR="00B974E8" w:rsidRPr="00B974E8" w:rsidRDefault="00B974E8" w:rsidP="00B974E8">
            <w:pPr>
              <w:jc w:val="center"/>
            </w:pPr>
            <w:r w:rsidRPr="00B974E8">
              <w:rPr>
                <w:b/>
                <w:noProof/>
              </w:rPr>
              <w:pict>
                <v:line id="_x0000_s1028" style="position:absolute;left:0;text-align:left;z-index:251658240" from="71.1pt,18pt" to="235.85pt,18pt"/>
              </w:pict>
            </w:r>
            <w:r w:rsidRPr="00B974E8">
              <w:rPr>
                <w:b/>
              </w:rPr>
              <w:t>Độc lập - Tự do - Hạnh phúc</w:t>
            </w:r>
          </w:p>
        </w:tc>
      </w:tr>
      <w:tr w:rsidR="00B974E8" w:rsidRPr="00B974E8" w:rsidTr="007C0EFA">
        <w:trPr>
          <w:trHeight w:val="466"/>
          <w:jc w:val="center"/>
        </w:trPr>
        <w:tc>
          <w:tcPr>
            <w:tcW w:w="3103" w:type="dxa"/>
          </w:tcPr>
          <w:p w:rsidR="00B974E8" w:rsidRPr="00B974E8" w:rsidRDefault="00B974E8" w:rsidP="00B974E8">
            <w:pPr>
              <w:jc w:val="center"/>
              <w:rPr>
                <w:b/>
                <w:sz w:val="26"/>
                <w:szCs w:val="26"/>
              </w:rPr>
            </w:pPr>
            <w:r w:rsidRPr="00B974E8">
              <w:rPr>
                <w:sz w:val="26"/>
                <w:szCs w:val="26"/>
              </w:rPr>
              <w:t>Số: 25</w:t>
            </w:r>
            <w:r w:rsidRPr="00B974E8">
              <w:rPr>
                <w:sz w:val="26"/>
                <w:szCs w:val="26"/>
              </w:rPr>
              <w:t>1</w:t>
            </w:r>
            <w:r w:rsidRPr="00B974E8">
              <w:rPr>
                <w:sz w:val="26"/>
                <w:szCs w:val="26"/>
              </w:rPr>
              <w:t>/BC-UBND</w:t>
            </w:r>
          </w:p>
        </w:tc>
        <w:tc>
          <w:tcPr>
            <w:tcW w:w="6316" w:type="dxa"/>
          </w:tcPr>
          <w:p w:rsidR="00B974E8" w:rsidRPr="00B974E8" w:rsidRDefault="00B974E8" w:rsidP="00B974E8">
            <w:pPr>
              <w:jc w:val="center"/>
              <w:rPr>
                <w:b/>
              </w:rPr>
            </w:pPr>
            <w:r w:rsidRPr="00B974E8">
              <w:rPr>
                <w:i/>
              </w:rPr>
              <w:t>Sa Thầy, ngày 18 tháng 6 năm 2018</w:t>
            </w:r>
          </w:p>
        </w:tc>
      </w:tr>
    </w:tbl>
    <w:p w:rsidR="00B974E8" w:rsidRPr="00B974E8" w:rsidRDefault="00B974E8" w:rsidP="00B974E8">
      <w:pPr>
        <w:pStyle w:val="Heading5"/>
        <w:spacing w:before="0" w:after="0"/>
        <w:jc w:val="center"/>
        <w:rPr>
          <w:rFonts w:ascii="Times New Roman" w:hAnsi="Times New Roman"/>
          <w:i w:val="0"/>
          <w:sz w:val="28"/>
          <w:szCs w:val="28"/>
          <w:lang w:val="en-US"/>
        </w:rPr>
      </w:pPr>
    </w:p>
    <w:p w:rsidR="00B974E8" w:rsidRPr="00B974E8" w:rsidRDefault="00B974E8" w:rsidP="00B974E8">
      <w:pPr>
        <w:pStyle w:val="Heading5"/>
        <w:spacing w:before="0" w:after="0"/>
        <w:jc w:val="center"/>
        <w:rPr>
          <w:rFonts w:ascii="Times New Roman" w:hAnsi="Times New Roman"/>
          <w:i w:val="0"/>
          <w:sz w:val="28"/>
          <w:szCs w:val="28"/>
        </w:rPr>
      </w:pPr>
      <w:r w:rsidRPr="00B974E8">
        <w:rPr>
          <w:rFonts w:ascii="Times New Roman" w:hAnsi="Times New Roman"/>
          <w:i w:val="0"/>
          <w:sz w:val="28"/>
          <w:szCs w:val="28"/>
        </w:rPr>
        <w:t>BÁO CÁO</w:t>
      </w:r>
    </w:p>
    <w:p w:rsidR="00B974E8" w:rsidRPr="00B974E8" w:rsidRDefault="00B974E8" w:rsidP="00B974E8">
      <w:pPr>
        <w:pStyle w:val="Heading1"/>
        <w:rPr>
          <w:lang w:val="nl-NL"/>
        </w:rPr>
      </w:pPr>
      <w:r w:rsidRPr="00B974E8">
        <w:rPr>
          <w:lang w:val="vi-VN"/>
        </w:rPr>
        <w:t>Quyết toán ngân sách huyện năm 20</w:t>
      </w:r>
      <w:r w:rsidRPr="00B974E8">
        <w:rPr>
          <w:lang w:val="nl-NL"/>
        </w:rPr>
        <w:t>17</w:t>
      </w:r>
    </w:p>
    <w:p w:rsidR="00B974E8" w:rsidRPr="00B974E8" w:rsidRDefault="00B974E8" w:rsidP="00B974E8">
      <w:pPr>
        <w:rPr>
          <w:lang w:val="vi-VN"/>
        </w:rPr>
      </w:pPr>
      <w:r w:rsidRPr="00B974E8">
        <w:rPr>
          <w:noProof/>
        </w:rPr>
        <w:pict>
          <v:shapetype id="_x0000_t32" coordsize="21600,21600" o:spt="32" o:oned="t" path="m,l21600,21600e" filled="f">
            <v:path arrowok="t" fillok="f" o:connecttype="none"/>
            <o:lock v:ext="edit" shapetype="t"/>
          </v:shapetype>
          <v:shape id="_x0000_s1029" type="#_x0000_t32" style="position:absolute;margin-left:210.45pt;margin-top:2.65pt;width:42.6pt;height:0;z-index:251659264" o:connectortype="straight"/>
        </w:pict>
      </w:r>
    </w:p>
    <w:p w:rsidR="00B974E8" w:rsidRPr="00B974E8" w:rsidRDefault="00B974E8" w:rsidP="00B974E8">
      <w:pPr>
        <w:spacing w:before="120" w:after="120"/>
        <w:ind w:firstLine="709"/>
        <w:jc w:val="both"/>
        <w:rPr>
          <w:lang w:val="vi-VN"/>
        </w:rPr>
      </w:pPr>
      <w:r w:rsidRPr="00B974E8">
        <w:rPr>
          <w:lang w:val="vi-VN"/>
        </w:rPr>
        <w:tab/>
        <w:t xml:space="preserve">Thực hiện Nghị quyết số 50/NQ-HĐND ngày 20/12/2016 của Hội đồng nhân dân huyện Sa Thầy khóa X kỳ họp thứ 3, về việc giao chỉ tiêu kế hoạch kinh tế xã hội và dự toán ngân sách nhà nước năm 2017. </w:t>
      </w:r>
    </w:p>
    <w:p w:rsidR="00B974E8" w:rsidRPr="00B974E8" w:rsidRDefault="00B974E8" w:rsidP="00B974E8">
      <w:pPr>
        <w:spacing w:before="120" w:after="120"/>
        <w:ind w:firstLine="709"/>
        <w:jc w:val="both"/>
        <w:rPr>
          <w:lang w:val="vi-VN"/>
        </w:rPr>
      </w:pPr>
      <w:r w:rsidRPr="00B974E8">
        <w:rPr>
          <w:lang w:val="vi-VN"/>
        </w:rPr>
        <w:t xml:space="preserve">UBND huyện báo cáo kết quả  thực hiện nhiệm vụ thu chi ngân sách nhà nước năm 2017, như sau: </w:t>
      </w:r>
    </w:p>
    <w:p w:rsidR="00B974E8" w:rsidRPr="00B974E8" w:rsidRDefault="00B974E8" w:rsidP="00B974E8">
      <w:pPr>
        <w:spacing w:before="120" w:after="120"/>
        <w:ind w:firstLine="709"/>
        <w:jc w:val="both"/>
        <w:rPr>
          <w:b/>
          <w:lang w:val="vi-VN"/>
        </w:rPr>
      </w:pPr>
      <w:r w:rsidRPr="00B974E8">
        <w:rPr>
          <w:lang w:val="vi-VN"/>
        </w:rPr>
        <w:tab/>
      </w:r>
      <w:r w:rsidRPr="00B974E8">
        <w:rPr>
          <w:b/>
          <w:lang w:val="vi-VN"/>
        </w:rPr>
        <w:t>A. Phần thu</w:t>
      </w:r>
      <w:r w:rsidRPr="00B974E8">
        <w:rPr>
          <w:b/>
          <w:lang w:val="vi-VN"/>
        </w:rPr>
        <w:tab/>
      </w:r>
    </w:p>
    <w:p w:rsidR="00B974E8" w:rsidRPr="00B974E8" w:rsidRDefault="00B974E8" w:rsidP="00B974E8">
      <w:pPr>
        <w:spacing w:before="120" w:after="120"/>
        <w:ind w:firstLine="709"/>
        <w:jc w:val="both"/>
        <w:rPr>
          <w:b/>
        </w:rPr>
      </w:pPr>
      <w:r w:rsidRPr="00B974E8">
        <w:rPr>
          <w:b/>
          <w:lang w:val="vi-VN"/>
        </w:rPr>
        <w:t>I. Thu ngân sách Nhà nước trên địa bàn</w:t>
      </w:r>
    </w:p>
    <w:p w:rsidR="00B974E8" w:rsidRDefault="00B974E8" w:rsidP="00B974E8">
      <w:pPr>
        <w:spacing w:before="120" w:after="120"/>
        <w:ind w:firstLine="709"/>
        <w:jc w:val="both"/>
        <w:rPr>
          <w:b/>
        </w:rPr>
      </w:pPr>
      <w:r w:rsidRPr="00B974E8">
        <w:rPr>
          <w:lang w:val="vi-VN"/>
        </w:rPr>
        <w:t>Dự toán</w:t>
      </w:r>
      <w:r w:rsidRPr="00B974E8">
        <w:rPr>
          <w:bCs/>
          <w:lang w:val="vi-VN"/>
        </w:rPr>
        <w:t xml:space="preserve"> thu ngân sách nhà nước trên địa bàn năm 2017 được UBND tỉnh giao </w:t>
      </w:r>
      <w:r w:rsidRPr="00B974E8">
        <w:rPr>
          <w:lang w:val="vi-VN"/>
        </w:rPr>
        <w:t>54.880 triệu đồng</w:t>
      </w:r>
      <w:r w:rsidRPr="00B974E8">
        <w:rPr>
          <w:bCs/>
          <w:lang w:val="vi-VN"/>
        </w:rPr>
        <w:t xml:space="preserve"> và HĐND huyện giao </w:t>
      </w:r>
      <w:r w:rsidRPr="00B974E8">
        <w:rPr>
          <w:lang w:val="vi-VN"/>
        </w:rPr>
        <w:t>60.487 triệu đồng, tăng 5.607 triệu đồng (10,21%) so với UBND tỉnh giao</w:t>
      </w:r>
      <w:r w:rsidRPr="00B974E8">
        <w:rPr>
          <w:bCs/>
          <w:lang w:val="vi-VN"/>
        </w:rPr>
        <w:t>; Bao gồm: Chi cục thuế huyện thu Tỉnh giao là 20.130 triệu đồng; Kế hoạch huyện giao: 25.737 triệu đồng.</w:t>
      </w:r>
    </w:p>
    <w:p w:rsidR="00B974E8" w:rsidRPr="00B974E8" w:rsidRDefault="00B974E8" w:rsidP="00B974E8">
      <w:pPr>
        <w:spacing w:before="120" w:after="120"/>
        <w:ind w:firstLine="709"/>
        <w:jc w:val="both"/>
        <w:rPr>
          <w:b/>
          <w:lang w:val="vi-VN"/>
        </w:rPr>
      </w:pPr>
      <w:r w:rsidRPr="00B974E8">
        <w:rPr>
          <w:lang w:val="vi-VN"/>
        </w:rPr>
        <w:t>Thực hiện thu ngân sách trên địa bàn huyện năm 2017 là 103.554,84 triệu đồng, đạt 189% dự toán tỉnh giao và 171% kế hoạch huyện giao, bằng 126,8% so cùng kỳ; Trong đó, Chi cục thuế thu 56.468,65 triệu đồng, đạt 281% dự toán tỉnh giao và 219% dự toán huyện giao; Cục thuế thu 46.989,8 triệu đồng, đạt 136% dự toán.</w:t>
      </w:r>
    </w:p>
    <w:p w:rsidR="00B974E8" w:rsidRDefault="00B974E8" w:rsidP="00B974E8">
      <w:pPr>
        <w:spacing w:before="120" w:after="120"/>
        <w:ind w:firstLine="709"/>
        <w:jc w:val="both"/>
      </w:pPr>
      <w:r w:rsidRPr="00B974E8">
        <w:rPr>
          <w:lang w:val="vi-VN"/>
        </w:rPr>
        <w:t xml:space="preserve">  Tình hình thực hiện một số khoản thu, chi chủ yếu như sau:</w:t>
      </w:r>
    </w:p>
    <w:p w:rsidR="00B974E8" w:rsidRDefault="00B974E8" w:rsidP="00B974E8">
      <w:pPr>
        <w:spacing w:before="120" w:after="120"/>
        <w:ind w:firstLine="709"/>
        <w:jc w:val="both"/>
        <w:rPr>
          <w:bCs/>
        </w:rPr>
      </w:pPr>
      <w:r w:rsidRPr="00B974E8">
        <w:rPr>
          <w:b/>
          <w:lang w:val="vi-VN"/>
        </w:rPr>
        <w:t>1.</w:t>
      </w:r>
      <w:r w:rsidRPr="00B974E8">
        <w:rPr>
          <w:b/>
          <w:bCs/>
          <w:lang w:val="vi-VN"/>
        </w:rPr>
        <w:t xml:space="preserve"> Thu từ Doanh nghiệp Nhà nước Trung ương: </w:t>
      </w:r>
      <w:r w:rsidRPr="00B974E8">
        <w:rPr>
          <w:bCs/>
          <w:lang w:val="vi-VN"/>
        </w:rPr>
        <w:t>Thực hiện thu năm 2017 là 6.853,24 triệu đồng, đạt 1.246% tỉnh và huyện giao; bằng 133,9</w:t>
      </w:r>
      <w:r>
        <w:rPr>
          <w:bCs/>
          <w:lang w:val="vi-VN"/>
        </w:rPr>
        <w:t xml:space="preserve">% so với cùng kỳ. </w:t>
      </w:r>
    </w:p>
    <w:p w:rsidR="00B974E8" w:rsidRDefault="00B974E8" w:rsidP="00B974E8">
      <w:pPr>
        <w:spacing w:before="120" w:after="120"/>
        <w:ind w:firstLine="709"/>
        <w:jc w:val="both"/>
      </w:pPr>
      <w:r w:rsidRPr="00B974E8">
        <w:rPr>
          <w:b/>
          <w:lang w:val="vi-VN"/>
        </w:rPr>
        <w:t>2.</w:t>
      </w:r>
      <w:r w:rsidRPr="00B974E8">
        <w:rPr>
          <w:b/>
          <w:bCs/>
          <w:lang w:val="vi-VN"/>
        </w:rPr>
        <w:t xml:space="preserve"> Thu từ Doanh nghiệp Nhà nước địa phương</w:t>
      </w:r>
      <w:r w:rsidRPr="00B974E8">
        <w:rPr>
          <w:lang w:val="vi-VN"/>
        </w:rPr>
        <w:t>: Thực hiện năm 2017 là 247,16 triệu đồng, đạt 61% so dự toán tỉnh giao và huyện giao; bằng 51,4% so với cùng kỳ (Dự toán giao đầu năm, nhưng trong năm các đơn vị không phát sinh nguồn thu trên địa bàn).</w:t>
      </w:r>
    </w:p>
    <w:p w:rsidR="00B974E8" w:rsidRDefault="00B974E8" w:rsidP="00B974E8">
      <w:pPr>
        <w:spacing w:before="120" w:after="120"/>
        <w:ind w:firstLine="709"/>
        <w:jc w:val="both"/>
      </w:pPr>
      <w:r w:rsidRPr="00B974E8">
        <w:rPr>
          <w:b/>
          <w:lang w:val="vi-VN"/>
        </w:rPr>
        <w:t>3.</w:t>
      </w:r>
      <w:r w:rsidRPr="00B974E8">
        <w:rPr>
          <w:b/>
          <w:bCs/>
          <w:lang w:val="vi-VN"/>
        </w:rPr>
        <w:t xml:space="preserve"> Thu từ thành phần kinh tế công thương nghiệp và dịch vụ ngoài quốc doanh</w:t>
      </w:r>
      <w:r w:rsidRPr="00B974E8">
        <w:rPr>
          <w:lang w:val="vi-VN"/>
        </w:rPr>
        <w:t>: Thực hiện năm 2017 là 56.959,52 triệu đồng, đạt 127 % dự toán tỉnh và 123% huyện giao; bằng 104% so với cùng kỳ, trong đó (</w:t>
      </w:r>
      <w:r w:rsidRPr="00B974E8">
        <w:rPr>
          <w:bCs/>
          <w:lang w:val="vi-VN"/>
        </w:rPr>
        <w:t>phần Chi cục thuế huyện thu 18.730,75 triệu đồng, đạt 158% dự toán tỉnh giao và 141 % dự toán HĐND huyện giao).</w:t>
      </w:r>
      <w:r w:rsidRPr="00B974E8">
        <w:rPr>
          <w:lang w:val="vi-VN"/>
        </w:rPr>
        <w:t xml:space="preserve"> </w:t>
      </w:r>
    </w:p>
    <w:p w:rsidR="00B974E8" w:rsidRDefault="00B974E8" w:rsidP="00B974E8">
      <w:pPr>
        <w:spacing w:before="120" w:after="120"/>
        <w:ind w:firstLine="709"/>
        <w:jc w:val="both"/>
      </w:pPr>
      <w:r w:rsidRPr="00B974E8">
        <w:rPr>
          <w:b/>
          <w:lang w:val="vi-VN"/>
        </w:rPr>
        <w:t>4.Thu tiền sử dụng đất</w:t>
      </w:r>
    </w:p>
    <w:p w:rsidR="00B974E8" w:rsidRDefault="00B974E8" w:rsidP="00B974E8">
      <w:pPr>
        <w:spacing w:before="120" w:after="120"/>
        <w:ind w:firstLine="709"/>
        <w:jc w:val="both"/>
      </w:pPr>
      <w:r w:rsidRPr="00B974E8">
        <w:t xml:space="preserve">- </w:t>
      </w:r>
      <w:r w:rsidRPr="00B974E8">
        <w:rPr>
          <w:lang w:val="vi-VN"/>
        </w:rPr>
        <w:t>Thực hiện năm 2017 là 9.</w:t>
      </w:r>
      <w:r w:rsidRPr="00B974E8">
        <w:t>936</w:t>
      </w:r>
      <w:r w:rsidRPr="00B974E8">
        <w:rPr>
          <w:lang w:val="vi-VN"/>
        </w:rPr>
        <w:t>,</w:t>
      </w:r>
      <w:r w:rsidRPr="00B974E8">
        <w:t>5</w:t>
      </w:r>
      <w:r w:rsidRPr="00B974E8">
        <w:rPr>
          <w:lang w:val="vi-VN"/>
        </w:rPr>
        <w:t xml:space="preserve"> triệu đồng, đạt </w:t>
      </w:r>
      <w:r w:rsidRPr="00B974E8">
        <w:t>994</w:t>
      </w:r>
      <w:r w:rsidRPr="00B974E8">
        <w:rPr>
          <w:lang w:val="vi-VN"/>
        </w:rPr>
        <w:t xml:space="preserve"> % dự toán tỉnh giao và </w:t>
      </w:r>
      <w:r w:rsidRPr="00B974E8">
        <w:t>312</w:t>
      </w:r>
      <w:r w:rsidRPr="00B974E8">
        <w:rPr>
          <w:lang w:val="vi-VN"/>
        </w:rPr>
        <w:t xml:space="preserve"> % dự toán huyện giao; bằng </w:t>
      </w:r>
      <w:r w:rsidRPr="00B974E8">
        <w:t>76</w:t>
      </w:r>
      <w:r w:rsidRPr="00B974E8">
        <w:rPr>
          <w:lang w:val="vi-VN"/>
        </w:rPr>
        <w:t xml:space="preserve">% so với cùng kỳ; </w:t>
      </w:r>
    </w:p>
    <w:p w:rsidR="00B974E8" w:rsidRDefault="00B974E8" w:rsidP="00B974E8">
      <w:pPr>
        <w:tabs>
          <w:tab w:val="left" w:pos="900"/>
        </w:tabs>
        <w:spacing w:before="120" w:after="120"/>
        <w:ind w:firstLine="709"/>
        <w:jc w:val="both"/>
      </w:pPr>
      <w:r w:rsidRPr="00B974E8">
        <w:lastRenderedPageBreak/>
        <w:t>- Kinh phí thông qua đấu giá quyền sử dụng đất từ các dự án khai thác quỹ đất là</w:t>
      </w:r>
      <w:r w:rsidRPr="00B974E8">
        <w:rPr>
          <w:lang w:val="vi-VN"/>
        </w:rPr>
        <w:t xml:space="preserve"> 19.464,87 triệu đồng.</w:t>
      </w:r>
    </w:p>
    <w:p w:rsidR="00B974E8" w:rsidRDefault="00B974E8" w:rsidP="00B974E8">
      <w:pPr>
        <w:tabs>
          <w:tab w:val="left" w:pos="900"/>
        </w:tabs>
        <w:spacing w:before="120" w:after="120"/>
        <w:ind w:firstLine="709"/>
        <w:jc w:val="both"/>
      </w:pPr>
      <w:r w:rsidRPr="00B974E8">
        <w:rPr>
          <w:b/>
          <w:lang w:val="vi-VN"/>
        </w:rPr>
        <w:t xml:space="preserve">5. Thuế thu nhập cá nhân: </w:t>
      </w:r>
      <w:r w:rsidRPr="00B974E8">
        <w:rPr>
          <w:lang w:val="vi-VN"/>
        </w:rPr>
        <w:t>Thực hiện năm 2017 là 4.498,82 triệu đồng, đạt 170 % dự toán tỉnh giao và huyện giao; bằng 164,1% so với cùng kỳ.</w:t>
      </w:r>
      <w:r w:rsidRPr="00B974E8">
        <w:rPr>
          <w:lang w:val="vi-VN"/>
        </w:rPr>
        <w:tab/>
      </w:r>
    </w:p>
    <w:p w:rsidR="00B974E8" w:rsidRDefault="00B974E8" w:rsidP="00B974E8">
      <w:pPr>
        <w:tabs>
          <w:tab w:val="left" w:pos="900"/>
        </w:tabs>
        <w:spacing w:before="120" w:after="120"/>
        <w:ind w:firstLine="709"/>
        <w:jc w:val="both"/>
      </w:pPr>
      <w:r w:rsidRPr="00B974E8">
        <w:rPr>
          <w:b/>
          <w:lang w:val="vi-VN"/>
        </w:rPr>
        <w:t xml:space="preserve">6. Lệ phí trước bạ: </w:t>
      </w:r>
      <w:r w:rsidRPr="00B974E8">
        <w:rPr>
          <w:lang w:val="vi-VN"/>
        </w:rPr>
        <w:t xml:space="preserve">Thực hiện năm 2017 là 2.555 triệu đồng, đạt 138 % dự toán tỉnh giao và huyện giao; bằng 126% so với cùng kỳ. </w:t>
      </w:r>
      <w:r w:rsidRPr="00B974E8">
        <w:rPr>
          <w:lang w:val="vi-VN"/>
        </w:rPr>
        <w:tab/>
      </w:r>
    </w:p>
    <w:p w:rsidR="00B974E8" w:rsidRDefault="00B974E8" w:rsidP="00B974E8">
      <w:pPr>
        <w:tabs>
          <w:tab w:val="left" w:pos="900"/>
        </w:tabs>
        <w:spacing w:before="120" w:after="120"/>
        <w:ind w:firstLine="709"/>
        <w:jc w:val="both"/>
      </w:pPr>
      <w:r w:rsidRPr="00B974E8">
        <w:rPr>
          <w:b/>
          <w:lang w:val="vi-VN"/>
        </w:rPr>
        <w:t xml:space="preserve">7. Các loại phí và lệ phí: </w:t>
      </w:r>
      <w:r w:rsidRPr="00B974E8">
        <w:rPr>
          <w:lang w:val="vi-VN"/>
        </w:rPr>
        <w:t xml:space="preserve">Thực hiện năm 2017 là 725,36 triệu đồng, đạt 51% dự toán tỉnh giao và huyện giao; bằng 68,8% so với cùng kỳ. </w:t>
      </w:r>
    </w:p>
    <w:p w:rsidR="00B974E8" w:rsidRDefault="00B974E8" w:rsidP="00B974E8">
      <w:pPr>
        <w:tabs>
          <w:tab w:val="left" w:pos="900"/>
        </w:tabs>
        <w:spacing w:before="120" w:after="120"/>
        <w:ind w:firstLine="709"/>
        <w:jc w:val="both"/>
      </w:pPr>
      <w:r w:rsidRPr="00B974E8">
        <w:rPr>
          <w:b/>
          <w:lang w:val="vi-VN"/>
        </w:rPr>
        <w:t xml:space="preserve">8. Các khoản thu khác còn lại: </w:t>
      </w:r>
      <w:r w:rsidRPr="00B974E8">
        <w:rPr>
          <w:lang w:val="vi-VN"/>
        </w:rPr>
        <w:t>Các</w:t>
      </w:r>
      <w:r w:rsidRPr="00B974E8">
        <w:rPr>
          <w:b/>
          <w:lang w:val="vi-VN"/>
        </w:rPr>
        <w:t xml:space="preserve"> </w:t>
      </w:r>
      <w:r w:rsidRPr="00B974E8">
        <w:rPr>
          <w:lang w:val="vi-VN"/>
        </w:rPr>
        <w:t>khoản thu này thực hiện năm 2017 là 2.295,19 triệu đồng, đạt 114 % so với dự toán tỉnh giao và huyện giao; bằng 94,2% so cùng kỳ.</w:t>
      </w:r>
    </w:p>
    <w:p w:rsidR="00B974E8" w:rsidRDefault="00B974E8" w:rsidP="00B974E8">
      <w:pPr>
        <w:tabs>
          <w:tab w:val="left" w:pos="900"/>
        </w:tabs>
        <w:spacing w:before="120" w:after="120"/>
        <w:ind w:firstLine="709"/>
        <w:jc w:val="both"/>
      </w:pPr>
      <w:r w:rsidRPr="00B974E8">
        <w:rPr>
          <w:lang w:val="vi-VN"/>
        </w:rPr>
        <w:t>Qua số liệu Quyết toán ngân sách năm 2017 cho thấy số thu trên địa bàn vượt dự toán so tỉnh giao 48.674,84 triệu đồng, tăng 89%; vượt dự toán HĐND huyện giao 43.067,84 triệu đồng, tăng 71</w:t>
      </w:r>
      <w:r>
        <w:rPr>
          <w:lang w:val="vi-VN"/>
        </w:rPr>
        <w:t>%</w:t>
      </w:r>
      <w:r>
        <w:t>.</w:t>
      </w:r>
    </w:p>
    <w:p w:rsidR="00B974E8" w:rsidRDefault="00B974E8" w:rsidP="00B974E8">
      <w:pPr>
        <w:tabs>
          <w:tab w:val="left" w:pos="900"/>
        </w:tabs>
        <w:spacing w:before="120" w:after="120"/>
        <w:ind w:firstLine="709"/>
        <w:jc w:val="both"/>
      </w:pPr>
      <w:r w:rsidRPr="00B974E8">
        <w:rPr>
          <w:b/>
          <w:lang w:val="vi-VN"/>
        </w:rPr>
        <w:t>II. Thu ngân sách huyện</w:t>
      </w:r>
    </w:p>
    <w:p w:rsidR="00B974E8" w:rsidRDefault="00B974E8" w:rsidP="00B974E8">
      <w:pPr>
        <w:tabs>
          <w:tab w:val="left" w:pos="900"/>
        </w:tabs>
        <w:spacing w:before="120" w:after="120"/>
        <w:ind w:firstLine="709"/>
        <w:jc w:val="both"/>
      </w:pPr>
      <w:r w:rsidRPr="00B974E8">
        <w:rPr>
          <w:lang w:val="vi-VN"/>
        </w:rPr>
        <w:t xml:space="preserve">Dự toán thu cân đối ngân sách huyện năm 2017 được UBND tỉnh giao là 259.439 triệu đồng (tăng hơn 15,27% so với năm 2016). Gồm: thu bổ sung từ ngân sách cấp tỉnh 210.813, thu ngân sách trên địa bàn được hưởng theo phân cấp 48.176 triệu đồng và các khoản ghi thu, ghi chi là 450 triệu đồng; Dự toán thu ngân sách huyện được HĐND huyện giao là: 264.083 triệu đồng; trong đó, thu bổ sung từ ngân sách cấp tỉnh 210.813 triệu đồng, thu ngân sách huyện hưởng theo phân cấp 52.820 triệu đồng và các khoản ghi thu, ghi chi là 450 triệu đồng. </w:t>
      </w:r>
    </w:p>
    <w:p w:rsidR="00B974E8" w:rsidRDefault="00B974E8" w:rsidP="00B974E8">
      <w:pPr>
        <w:tabs>
          <w:tab w:val="left" w:pos="900"/>
        </w:tabs>
        <w:spacing w:before="120" w:after="120"/>
        <w:ind w:firstLine="709"/>
        <w:jc w:val="both"/>
      </w:pPr>
      <w:r w:rsidRPr="00B974E8">
        <w:rPr>
          <w:lang w:val="vi-VN"/>
        </w:rPr>
        <w:t>Quyết toán thu ngân sách huyện năm 201</w:t>
      </w:r>
      <w:r w:rsidRPr="00B974E8">
        <w:t>7</w:t>
      </w:r>
      <w:r w:rsidRPr="00B974E8">
        <w:rPr>
          <w:lang w:val="vi-VN"/>
        </w:rPr>
        <w:t xml:space="preserve"> là </w:t>
      </w:r>
      <w:r w:rsidRPr="00B974E8">
        <w:t xml:space="preserve">394.703,089 triệu </w:t>
      </w:r>
      <w:r w:rsidRPr="00B974E8">
        <w:rPr>
          <w:lang w:val="vi-VN"/>
        </w:rPr>
        <w:t>đồng, đạt 1</w:t>
      </w:r>
      <w:r w:rsidRPr="00B974E8">
        <w:t>49,46</w:t>
      </w:r>
      <w:r w:rsidRPr="00B974E8">
        <w:rPr>
          <w:lang w:val="vi-VN"/>
        </w:rPr>
        <w:t xml:space="preserve">% dự toán; Trong đó, thu trên địa bàn ngân sách huyện hưởng đạt </w:t>
      </w:r>
      <w:r w:rsidRPr="00B974E8">
        <w:t xml:space="preserve">68.175,69 triệu </w:t>
      </w:r>
      <w:r w:rsidRPr="00B974E8">
        <w:rPr>
          <w:lang w:val="vi-VN"/>
        </w:rPr>
        <w:t xml:space="preserve">đồng, </w:t>
      </w:r>
      <w:r w:rsidRPr="00B974E8">
        <w:t xml:space="preserve">đạt 129,07 </w:t>
      </w:r>
      <w:r w:rsidRPr="00B974E8">
        <w:rPr>
          <w:lang w:val="vi-VN"/>
        </w:rPr>
        <w:t xml:space="preserve">% dự toán huyện giao; thu bổ sung ngân sách </w:t>
      </w:r>
      <w:r w:rsidRPr="00B974E8">
        <w:t>265.348,611 triệu</w:t>
      </w:r>
      <w:r w:rsidRPr="00B974E8">
        <w:rPr>
          <w:lang w:val="vi-VN"/>
        </w:rPr>
        <w:t xml:space="preserve"> đồng</w:t>
      </w:r>
      <w:r w:rsidRPr="00B974E8">
        <w:t>, đạt 125,87</w:t>
      </w:r>
      <w:r w:rsidRPr="00B974E8">
        <w:rPr>
          <w:lang w:val="vi-VN"/>
        </w:rPr>
        <w:t>% so dự toán</w:t>
      </w:r>
      <w:r w:rsidRPr="00B974E8">
        <w:t xml:space="preserve"> giao đầu năm;</w:t>
      </w:r>
      <w:r w:rsidRPr="00B974E8">
        <w:rPr>
          <w:lang w:val="vi-VN"/>
        </w:rPr>
        <w:t xml:space="preserve"> thu chuyển nguồn </w:t>
      </w:r>
      <w:r w:rsidRPr="00B974E8">
        <w:t>26.523,27 triệu</w:t>
      </w:r>
      <w:r w:rsidRPr="00B974E8">
        <w:rPr>
          <w:lang w:val="vi-VN"/>
        </w:rPr>
        <w:t xml:space="preserve"> đồng</w:t>
      </w:r>
      <w:r w:rsidRPr="00B974E8">
        <w:t xml:space="preserve"> (tập trung vào nguồn chi đầu tư phát triển, chi thường xuyên và các chính sách giáo dục đào tạo); </w:t>
      </w:r>
      <w:r w:rsidRPr="00B974E8">
        <w:rPr>
          <w:lang w:val="vi-VN"/>
        </w:rPr>
        <w:t xml:space="preserve">thu kết dư ngân sách </w:t>
      </w:r>
      <w:r w:rsidRPr="00B974E8">
        <w:t xml:space="preserve">14.153,645 triệu </w:t>
      </w:r>
      <w:r w:rsidRPr="00B974E8">
        <w:rPr>
          <w:lang w:val="vi-VN"/>
        </w:rPr>
        <w:t>đồng</w:t>
      </w:r>
      <w:r w:rsidRPr="00B974E8">
        <w:t>; thu chuyển giao ngân sách 1.037 triệu đồng.</w:t>
      </w:r>
    </w:p>
    <w:p w:rsidR="00B974E8" w:rsidRDefault="00B974E8" w:rsidP="00B974E8">
      <w:pPr>
        <w:tabs>
          <w:tab w:val="left" w:pos="900"/>
        </w:tabs>
        <w:spacing w:before="120" w:after="120"/>
        <w:ind w:firstLine="709"/>
        <w:jc w:val="both"/>
      </w:pPr>
      <w:r w:rsidRPr="00B974E8">
        <w:rPr>
          <w:b/>
          <w:lang w:val="vi-VN"/>
        </w:rPr>
        <w:t>B. Về chi ngân sác</w:t>
      </w:r>
      <w:r>
        <w:rPr>
          <w:b/>
        </w:rPr>
        <w:t>h</w:t>
      </w:r>
    </w:p>
    <w:p w:rsidR="00B974E8" w:rsidRPr="00B974E8" w:rsidRDefault="00B974E8" w:rsidP="00B974E8">
      <w:pPr>
        <w:tabs>
          <w:tab w:val="left" w:pos="900"/>
        </w:tabs>
        <w:spacing w:before="120" w:after="120"/>
        <w:ind w:firstLine="709"/>
        <w:jc w:val="both"/>
      </w:pPr>
      <w:r w:rsidRPr="00B974E8">
        <w:rPr>
          <w:lang w:val="vi-VN"/>
        </w:rPr>
        <w:t>Dự toán chi ngân sách tỉnh giao đầu năm 259.439 triệu đồng; Dự toán HĐND huyện giao 264.083 triệu đồng, tăng 4.644 triệu đồng (1,79%). Tổng dự toán chi trong năm sau khi điều chỉnh, bổ sung 381.093 triệu đồng với lý do: (1) trong năm UBND tỉnh bổ sung các chương trình mục tiêu, nhiệm vụ phát sinh, số tiền 56.815,611 triệu đồng; Bao gồm: Chương trình MTQG giảm nghèo bền vững, MTQG xây dựng NTM 33.948 triệu đồng triệu đồng; Thực hiện các chính sách giáo dục &amp; Đào tạo 11.497,214 triệu đồng; Chính sách xã hội và BTXH 6.379,3; Chế độ nghỉ hưu 1.164,497 triệu đồng; các mục tiêu khác 3.826,6 triệu đồng; (2) Chi chuyển nguồn năm 2016 sang 2017 là 26.523,27 triệu đồng; (3) nguồn kết dư ngân sách 14.153,645 triệu đồng; (4) nguồn ghi thu, ghi chi: 19.464,872 triệu đồng và bổ sung nhiệm vụ mục tiêu khác 660,262 triệu đồng..</w:t>
      </w:r>
      <w:r>
        <w:t>.</w:t>
      </w:r>
    </w:p>
    <w:p w:rsidR="00B974E8" w:rsidRPr="00B974E8" w:rsidRDefault="00B974E8" w:rsidP="00B974E8">
      <w:pPr>
        <w:tabs>
          <w:tab w:val="left" w:pos="900"/>
        </w:tabs>
        <w:spacing w:before="120" w:after="120"/>
        <w:ind w:firstLine="709"/>
        <w:jc w:val="both"/>
      </w:pPr>
      <w:r w:rsidRPr="00B974E8">
        <w:rPr>
          <w:lang w:val="vi-VN"/>
        </w:rPr>
        <w:lastRenderedPageBreak/>
        <w:t>Quyết toán chi ngân sách huyện năm 2017 là 381.700,66 triệu đồng, tăng 117.617,66 triệu đồng, tăng 47,4% dự toán tỉnh giao và tăng 44,8% dự toán HĐND huyện giao đầu năm.</w:t>
      </w:r>
    </w:p>
    <w:p w:rsidR="00B974E8" w:rsidRDefault="00B974E8" w:rsidP="00B974E8">
      <w:pPr>
        <w:tabs>
          <w:tab w:val="left" w:pos="900"/>
        </w:tabs>
        <w:spacing w:before="120" w:after="120"/>
        <w:ind w:firstLine="709"/>
        <w:jc w:val="center"/>
        <w:rPr>
          <w:i/>
        </w:rPr>
      </w:pPr>
      <w:r w:rsidRPr="00B974E8">
        <w:rPr>
          <w:i/>
          <w:lang w:val="vi-VN"/>
        </w:rPr>
        <w:t>(Số liệu chi tiết kèm theo )</w:t>
      </w:r>
    </w:p>
    <w:p w:rsidR="00B974E8" w:rsidRDefault="00B974E8" w:rsidP="00B974E8">
      <w:pPr>
        <w:tabs>
          <w:tab w:val="left" w:pos="900"/>
        </w:tabs>
        <w:spacing w:before="120" w:after="120"/>
        <w:ind w:firstLine="709"/>
        <w:jc w:val="both"/>
        <w:rPr>
          <w:i/>
        </w:rPr>
      </w:pPr>
      <w:r w:rsidRPr="00B974E8">
        <w:rPr>
          <w:b/>
          <w:lang w:val="vi-VN"/>
        </w:rPr>
        <w:t xml:space="preserve">1. Chi đầu tư phát triển: </w:t>
      </w:r>
      <w:r w:rsidRPr="00B974E8">
        <w:rPr>
          <w:lang w:val="vi-VN"/>
        </w:rPr>
        <w:t>Thực hiện năm 2017 là 72.847,90 triệu đồng, đạt 257,8</w:t>
      </w:r>
      <w:r>
        <w:rPr>
          <w:lang w:val="vi-VN"/>
        </w:rPr>
        <w:t>%</w:t>
      </w:r>
      <w:r w:rsidRPr="00B974E8">
        <w:rPr>
          <w:lang w:val="vi-VN"/>
        </w:rPr>
        <w:t xml:space="preserve"> dự toán huyện giao, 84,9% nhiệm vụ chi và bằng 198,8% so cùng kỳ. Trong đó:</w:t>
      </w:r>
    </w:p>
    <w:p w:rsidR="00B974E8" w:rsidRDefault="00B974E8" w:rsidP="00B974E8">
      <w:pPr>
        <w:tabs>
          <w:tab w:val="left" w:pos="900"/>
        </w:tabs>
        <w:spacing w:before="120" w:after="120"/>
        <w:ind w:firstLine="709"/>
        <w:jc w:val="both"/>
        <w:rPr>
          <w:i/>
        </w:rPr>
      </w:pPr>
      <w:r w:rsidRPr="00B974E8">
        <w:rPr>
          <w:lang w:val="vi-VN"/>
        </w:rPr>
        <w:t xml:space="preserve">- Chi nguồn vốn XDCB tập trung phân cấp: Thực hiện 15.069 triệu đồng, đạt 129,8% dự toán và 58,6% nhiệm vụ chi; </w:t>
      </w:r>
      <w:r w:rsidRPr="00B974E8">
        <w:rPr>
          <w:i/>
          <w:lang w:val="vi-VN"/>
        </w:rPr>
        <w:t xml:space="preserve">Gồm, </w:t>
      </w:r>
      <w:r w:rsidRPr="00B974E8">
        <w:rPr>
          <w:lang w:val="vi-VN"/>
        </w:rPr>
        <w:t>Nguồn vốn XDCB tập trung 5.199 triệu đồng; Nguồn thu sử dụng đất 37 triệu đồng; Nguồn phí BVMT 25 triệu đồng; Nguồn kết dư 8.406 triệu đồng; Nguồn dự phòng 1.403 triệu đồng.</w:t>
      </w:r>
    </w:p>
    <w:p w:rsidR="00B974E8" w:rsidRDefault="00B974E8" w:rsidP="00B974E8">
      <w:pPr>
        <w:tabs>
          <w:tab w:val="left" w:pos="900"/>
        </w:tabs>
        <w:spacing w:before="120" w:after="120"/>
        <w:ind w:firstLine="709"/>
        <w:jc w:val="both"/>
        <w:rPr>
          <w:i/>
        </w:rPr>
      </w:pPr>
      <w:r w:rsidRPr="00B974E8">
        <w:rPr>
          <w:lang w:val="vi-VN"/>
        </w:rPr>
        <w:t xml:space="preserve">- Chi từ nguồn vốn các chương trình mục tiêu </w:t>
      </w:r>
      <w:r>
        <w:rPr>
          <w:lang w:val="vi-VN"/>
        </w:rPr>
        <w:t xml:space="preserve">Quốc gia NTM, MTQG giảm nghèo: </w:t>
      </w:r>
      <w:r w:rsidRPr="00B974E8">
        <w:rPr>
          <w:lang w:val="vi-VN"/>
        </w:rPr>
        <w:t>Thực hiện 22.317 triệu đồng, đạt 96% nhiệm vụ chi.</w:t>
      </w:r>
    </w:p>
    <w:p w:rsidR="00B974E8" w:rsidRDefault="00B974E8" w:rsidP="00B974E8">
      <w:pPr>
        <w:tabs>
          <w:tab w:val="left" w:pos="900"/>
        </w:tabs>
        <w:spacing w:before="120" w:after="120"/>
        <w:ind w:firstLine="709"/>
        <w:jc w:val="both"/>
        <w:rPr>
          <w:i/>
        </w:rPr>
      </w:pPr>
      <w:r w:rsidRPr="00B974E8">
        <w:rPr>
          <w:lang w:val="vi-VN"/>
        </w:rPr>
        <w:t>- Chi từ nguồn vốn NS tỉnh bổ sung mục tiêu trong năm thực hiện 12.457 triệu đồng, đạt 95,8% dự toán và đạt 93,8% nhiệm vụ chi. Gồm: Chương trình hỗ trợ xã trọng điểm 14 triệu đồng; Nguồn NS tỉnh hỗ trợ đầu tư công trình giáo dục 3.680 triệu đồng; Nguồn vốn đầu tư xã biên giới 2.061 triệu đồng; Nguồn vốn khác 6.702 triệu đồng.</w:t>
      </w:r>
    </w:p>
    <w:p w:rsidR="00B974E8" w:rsidRDefault="00B974E8" w:rsidP="00B974E8">
      <w:pPr>
        <w:tabs>
          <w:tab w:val="left" w:pos="900"/>
        </w:tabs>
        <w:spacing w:before="120" w:after="120"/>
        <w:ind w:firstLine="709"/>
        <w:jc w:val="both"/>
        <w:rPr>
          <w:i/>
        </w:rPr>
      </w:pPr>
      <w:r w:rsidRPr="00B974E8">
        <w:rPr>
          <w:b/>
          <w:lang w:val="vi-VN"/>
        </w:rPr>
        <w:t>* Nguyên nhân chi đầu tư phát triển tăng hơn so dự toán giao đầu năm là:</w:t>
      </w:r>
      <w:r>
        <w:rPr>
          <w:b/>
        </w:rPr>
        <w:t xml:space="preserve"> </w:t>
      </w:r>
      <w:r w:rsidRPr="00B974E8">
        <w:rPr>
          <w:lang w:val="vi-VN"/>
        </w:rPr>
        <w:t xml:space="preserve">Tăng từ nguồn UBND tỉnh bổ sung mục tiêu 22.317 triệu đồng; </w:t>
      </w:r>
      <w:r w:rsidRPr="00B974E8">
        <w:rPr>
          <w:i/>
          <w:lang w:val="vi-VN"/>
        </w:rPr>
        <w:t>bao gồm</w:t>
      </w:r>
      <w:r w:rsidRPr="00B974E8">
        <w:rPr>
          <w:lang w:val="vi-VN"/>
        </w:rPr>
        <w:t>, (Nguồn MTQG giảm nghèo (135), QĐ 293/QĐ-TTg 13.348 triệu đồng; MTQG XDNTM 8.968 triệu đồng; Chi từ nguồn kết dư 8.406 triệu đồng; nhiệm vụ chi chuyển nguồn năm 2016 sang 2017 là 5.081 triệu đồng.</w:t>
      </w:r>
    </w:p>
    <w:p w:rsidR="00B974E8" w:rsidRDefault="00B974E8" w:rsidP="00B974E8">
      <w:pPr>
        <w:tabs>
          <w:tab w:val="left" w:pos="900"/>
        </w:tabs>
        <w:spacing w:before="120" w:after="120"/>
        <w:ind w:firstLine="709"/>
        <w:jc w:val="both"/>
        <w:rPr>
          <w:i/>
        </w:rPr>
      </w:pPr>
      <w:r w:rsidRPr="00B974E8">
        <w:rPr>
          <w:b/>
          <w:bCs/>
          <w:lang w:val="vi-VN"/>
        </w:rPr>
        <w:t>2. Chi thường xuyên</w:t>
      </w:r>
      <w:r w:rsidRPr="00B974E8">
        <w:rPr>
          <w:lang w:val="vi-VN"/>
        </w:rPr>
        <w:t>: Thực hiện 258.913 triệu đồng, đạt 112,3% dự toán huyện giao và đạt 89,3% nhiệm vụ chi, bằng 112,1% so với cùng kỳ. Trong đó: chi ngân sách cấp huyện 214.784 triệu đồng, đạt 82,96%  trên tổng chi thường xuyên ngân sách.</w:t>
      </w:r>
    </w:p>
    <w:p w:rsidR="00B974E8" w:rsidRDefault="00B974E8" w:rsidP="00B974E8">
      <w:pPr>
        <w:tabs>
          <w:tab w:val="left" w:pos="900"/>
        </w:tabs>
        <w:spacing w:before="120" w:after="120"/>
        <w:ind w:firstLine="709"/>
        <w:jc w:val="both"/>
        <w:rPr>
          <w:i/>
        </w:rPr>
      </w:pPr>
      <w:r w:rsidRPr="00B974E8">
        <w:rPr>
          <w:b/>
          <w:lang w:val="vi-VN"/>
        </w:rPr>
        <w:t>* Nguyên nhân chi thường xuyên tăng so dự toán, gồm</w:t>
      </w:r>
      <w:r w:rsidRPr="00B974E8">
        <w:rPr>
          <w:lang w:val="vi-VN"/>
        </w:rPr>
        <w:t xml:space="preserve"> : Trong năm UBND tỉnh bổ sung các chương trình mục tiêu, nhiệm vụ phát sinh 34.044,61 triệu đồng, gồm: </w:t>
      </w:r>
      <w:r w:rsidRPr="00B974E8">
        <w:rPr>
          <w:i/>
          <w:lang w:val="vi-VN"/>
        </w:rPr>
        <w:t>(Kinh phí thực hiện các chính sách giáo dục là 11.497,21 triệu đồng; Vốn sự nghiệp thực hiện Chương trình MTQG giảm nghèo bền vững, MTQG XDNTM, huyện nghèo theo Quyết định 293/QĐ-TTg là 11.277 triệu đồng; chi lĩnh vực sự nghiệp kinh tế  1.970,6 triệu đồng;chế độ nghỉ hưu là 1.164,50 triệu đồng; Kinh phí bảo trợ xã hội là 6.403,3 triệu đồng; Kinh phí an ninh, quốc phòng là 1.020 triệu đồng; các chính sách khác là 712 triệu đồng</w:t>
      </w:r>
      <w:r w:rsidRPr="00B974E8">
        <w:rPr>
          <w:lang w:val="vi-VN"/>
        </w:rPr>
        <w:t xml:space="preserve">); Nhiệm vụ chi chuyển nguồn năm 2016 sang năm 2017  là 21.442,15 triệu đồng; Chi nguồn kết dư là 3.792,54 triệu đồng. </w:t>
      </w:r>
      <w:r w:rsidRPr="00B974E8">
        <w:rPr>
          <w:lang w:val="vi-VN"/>
        </w:rPr>
        <w:tab/>
      </w:r>
    </w:p>
    <w:p w:rsidR="00B974E8" w:rsidRDefault="00B974E8" w:rsidP="00B974E8">
      <w:pPr>
        <w:tabs>
          <w:tab w:val="left" w:pos="900"/>
        </w:tabs>
        <w:spacing w:before="120" w:after="120"/>
        <w:ind w:firstLine="709"/>
        <w:jc w:val="both"/>
        <w:rPr>
          <w:i/>
        </w:rPr>
      </w:pPr>
      <w:r w:rsidRPr="00B974E8">
        <w:rPr>
          <w:b/>
          <w:bCs/>
          <w:lang w:val="vi-VN"/>
        </w:rPr>
        <w:t xml:space="preserve">3. Chi chuyển nguồn ngân sách năm 2017 chuyển sang năm 2018 </w:t>
      </w:r>
      <w:r w:rsidRPr="00B974E8">
        <w:rPr>
          <w:lang w:val="vi-VN"/>
        </w:rPr>
        <w:t>là: 43.243,4  triệu đồng. Trong đó: Ngân sách huyện 39.082,66 triệu đồng; ngân sách xã 4.160,74 triệu đồng, gồm,(1) Chuyển nhiệm vụ chi đầu tư phát triển: 6.833,55 triệu đồng; (2)</w:t>
      </w:r>
      <w:r w:rsidRPr="00B974E8">
        <w:rPr>
          <w:b/>
          <w:lang w:val="vi-VN"/>
        </w:rPr>
        <w:t xml:space="preserve"> </w:t>
      </w:r>
      <w:r w:rsidRPr="00B974E8">
        <w:rPr>
          <w:lang w:val="vi-VN"/>
        </w:rPr>
        <w:t xml:space="preserve">Chuyển nguồn chi thường xuyên: 18.363,8 triệu đồng; </w:t>
      </w:r>
      <w:r w:rsidRPr="00B974E8">
        <w:rPr>
          <w:i/>
          <w:lang w:val="vi-VN"/>
        </w:rPr>
        <w:t>gồm</w:t>
      </w:r>
      <w:r w:rsidRPr="00B974E8">
        <w:rPr>
          <w:lang w:val="vi-VN"/>
        </w:rPr>
        <w:t xml:space="preserve">, (Các </w:t>
      </w:r>
      <w:r w:rsidRPr="00B974E8">
        <w:rPr>
          <w:lang w:val="vi-VN"/>
        </w:rPr>
        <w:lastRenderedPageBreak/>
        <w:t>chính sách giáo dục: 9.684,52 triệu đồng; các mục tiêu thuộc sự nghiệp kinh tế là 1.940,62 triệu đồng; Chính sách đảm bảo xã hội 1.592,39 triệu đồng; Chương trình MTQG vốn sự nghiệp 913,36 triệu đồng; chuyển nguồn các đơn vị tự chủ tài chính 3.720,84 triệu đồng và các nhiệm vụ khác 512 triệu đồng);</w:t>
      </w:r>
      <w:r w:rsidRPr="00B974E8">
        <w:rPr>
          <w:b/>
          <w:lang w:val="vi-VN"/>
        </w:rPr>
        <w:t xml:space="preserve"> </w:t>
      </w:r>
      <w:r w:rsidRPr="00B974E8">
        <w:rPr>
          <w:lang w:val="vi-VN"/>
        </w:rPr>
        <w:t>(3) Chuyển 50% tăng thu thực hiện nguồn cải cách tiền lương 6.829,86 triệu đồng; (4) Chuyển nguồn tăng thu ngân sách năm 2017 là 7.055,45 triệu đồng; (5) ngân sách xã 4.160,74 triệu đồng.</w:t>
      </w:r>
    </w:p>
    <w:p w:rsidR="00B974E8" w:rsidRPr="00B974E8" w:rsidRDefault="00B974E8" w:rsidP="00B974E8">
      <w:pPr>
        <w:tabs>
          <w:tab w:val="left" w:pos="900"/>
        </w:tabs>
        <w:spacing w:before="120" w:after="120"/>
        <w:ind w:firstLine="709"/>
        <w:jc w:val="both"/>
        <w:rPr>
          <w:i/>
        </w:rPr>
      </w:pPr>
      <w:r w:rsidRPr="00B974E8">
        <w:rPr>
          <w:b/>
          <w:lang w:val="vi-VN"/>
        </w:rPr>
        <w:t xml:space="preserve">4. Chi nộp ngân sách cấp trên: </w:t>
      </w:r>
      <w:r w:rsidRPr="00B974E8">
        <w:rPr>
          <w:lang w:val="vi-VN"/>
        </w:rPr>
        <w:t>6.696,42  triệu đồng, gồm: Chuyển 50% tăng thu 2016 thực hiện CCTL và điều hòa nguồn CCTL còn thừa chuyển về tỉnh 3.499 triệu đồng; thực hiện kết luận kiểm toán năm 2016 nộp trả NS cấp trên nguồn mục tiêu thừa 2.160,42 triệu đồng, gồm</w:t>
      </w:r>
      <w:r w:rsidRPr="00B974E8">
        <w:rPr>
          <w:i/>
          <w:lang w:val="vi-VN"/>
        </w:rPr>
        <w:t xml:space="preserve">:(Tiền điện hộ nghèo 1.219,53 triệu đồng; Chương trình MTQG dạy nghề 480,442 triệu đồng; Chương trình MTQG giảm nghèo (135) 102,9 triệu đồng và các nhiệm vụ mục tiêu khác 357,55 triệu đồng; </w:t>
      </w:r>
      <w:r w:rsidRPr="00B974E8">
        <w:rPr>
          <w:lang w:val="vi-VN"/>
        </w:rPr>
        <w:t>NS xã nộp điều hòa nguồn thực hiện CCTL và các mục tiêu hết nhiệm vụ chi về huyện 1.037 triệu đồng.</w:t>
      </w:r>
    </w:p>
    <w:p w:rsidR="00B974E8" w:rsidRPr="00B974E8" w:rsidRDefault="00B974E8" w:rsidP="00B974E8">
      <w:pPr>
        <w:tabs>
          <w:tab w:val="left" w:pos="900"/>
        </w:tabs>
        <w:spacing w:before="120" w:after="120"/>
        <w:ind w:firstLine="709"/>
        <w:jc w:val="both"/>
        <w:rPr>
          <w:lang w:val="vi-VN"/>
        </w:rPr>
      </w:pPr>
      <w:r w:rsidRPr="00B974E8">
        <w:rPr>
          <w:lang w:val="vi-VN"/>
        </w:rPr>
        <w:tab/>
        <w:t>Trên đây là báo cáo Quyết toán ngân sách huyện năm 2017. Uỷ ban nhân dân huyện kính đề nghị Hội đồng nhân dân huyện khoá X, kỳ họp thứ 6 xem xét./.</w:t>
      </w:r>
    </w:p>
    <w:tbl>
      <w:tblPr>
        <w:tblW w:w="0" w:type="auto"/>
        <w:tblInd w:w="108" w:type="dxa"/>
        <w:tblLook w:val="04A0"/>
      </w:tblPr>
      <w:tblGrid>
        <w:gridCol w:w="4672"/>
        <w:gridCol w:w="4791"/>
      </w:tblGrid>
      <w:tr w:rsidR="00B974E8" w:rsidRPr="00572CF5" w:rsidTr="007C0EFA">
        <w:tc>
          <w:tcPr>
            <w:tcW w:w="4672" w:type="dxa"/>
          </w:tcPr>
          <w:p w:rsidR="00B974E8" w:rsidRPr="00B974E8" w:rsidRDefault="00B974E8" w:rsidP="00B974E8">
            <w:pPr>
              <w:rPr>
                <w:b/>
                <w:bCs/>
                <w:i/>
                <w:iCs/>
                <w:sz w:val="14"/>
                <w:lang w:val="nl-NL"/>
              </w:rPr>
            </w:pPr>
          </w:p>
          <w:p w:rsidR="00B974E8" w:rsidRPr="00B974E8" w:rsidRDefault="00B974E8" w:rsidP="00B974E8">
            <w:pPr>
              <w:rPr>
                <w:b/>
                <w:bCs/>
                <w:sz w:val="24"/>
                <w:szCs w:val="24"/>
                <w:lang w:val="nl-NL"/>
              </w:rPr>
            </w:pPr>
            <w:r w:rsidRPr="00B974E8">
              <w:rPr>
                <w:b/>
                <w:bCs/>
                <w:i/>
                <w:iCs/>
                <w:sz w:val="24"/>
                <w:szCs w:val="24"/>
                <w:lang w:val="nl-NL"/>
              </w:rPr>
              <w:t>Nơi nhận:</w:t>
            </w:r>
            <w:r w:rsidRPr="00B974E8">
              <w:rPr>
                <w:b/>
                <w:bCs/>
                <w:sz w:val="24"/>
                <w:szCs w:val="24"/>
                <w:lang w:val="nl-NL"/>
              </w:rPr>
              <w:t xml:space="preserve">                                                                       </w:t>
            </w:r>
          </w:p>
          <w:p w:rsidR="00B974E8" w:rsidRPr="00B974E8" w:rsidRDefault="00B974E8" w:rsidP="00B974E8">
            <w:pPr>
              <w:rPr>
                <w:sz w:val="22"/>
                <w:lang w:val="nl-NL"/>
              </w:rPr>
            </w:pPr>
            <w:r w:rsidRPr="00B974E8">
              <w:rPr>
                <w:sz w:val="22"/>
                <w:lang w:val="nl-NL"/>
              </w:rPr>
              <w:t>- Hội đồng nhân dân huyện (Báo cáo);</w:t>
            </w:r>
          </w:p>
          <w:p w:rsidR="00B974E8" w:rsidRPr="00B974E8" w:rsidRDefault="00B974E8" w:rsidP="00B974E8">
            <w:pPr>
              <w:rPr>
                <w:sz w:val="22"/>
                <w:lang w:val="nl-NL"/>
              </w:rPr>
            </w:pPr>
            <w:r w:rsidRPr="00B974E8">
              <w:rPr>
                <w:sz w:val="22"/>
                <w:lang w:val="nl-NL"/>
              </w:rPr>
              <w:t xml:space="preserve">- Chủ tịch, các Phó CT UBND huyện;                                                            </w:t>
            </w:r>
          </w:p>
          <w:p w:rsidR="00B974E8" w:rsidRPr="00B974E8" w:rsidRDefault="00B974E8" w:rsidP="00B974E8">
            <w:pPr>
              <w:pStyle w:val="Heading2"/>
              <w:spacing w:before="0"/>
              <w:rPr>
                <w:rFonts w:ascii="Times New Roman" w:hAnsi="Times New Roman" w:cs="Times New Roman"/>
                <w:b w:val="0"/>
                <w:color w:val="auto"/>
                <w:sz w:val="22"/>
                <w:lang w:val="nl-NL"/>
              </w:rPr>
            </w:pPr>
            <w:r w:rsidRPr="00B974E8">
              <w:rPr>
                <w:rFonts w:ascii="Times New Roman" w:hAnsi="Times New Roman" w:cs="Times New Roman"/>
                <w:b w:val="0"/>
                <w:color w:val="auto"/>
                <w:sz w:val="22"/>
                <w:lang w:val="nl-NL"/>
              </w:rPr>
              <w:t>- Lưu: VT-LT</w:t>
            </w:r>
            <w:r w:rsidRPr="00B974E8">
              <w:rPr>
                <w:rFonts w:ascii="Times New Roman" w:hAnsi="Times New Roman" w:cs="Times New Roman"/>
                <w:b w:val="0"/>
                <w:color w:val="auto"/>
                <w:sz w:val="22"/>
                <w:vertAlign w:val="subscript"/>
                <w:lang w:val="nl-NL"/>
              </w:rPr>
              <w:t>KTH</w:t>
            </w:r>
            <w:r w:rsidRPr="00B974E8">
              <w:rPr>
                <w:rFonts w:ascii="Times New Roman" w:hAnsi="Times New Roman" w:cs="Times New Roman"/>
                <w:b w:val="0"/>
                <w:color w:val="auto"/>
                <w:sz w:val="22"/>
                <w:lang w:val="nl-NL"/>
              </w:rPr>
              <w:t>.</w:t>
            </w:r>
          </w:p>
          <w:p w:rsidR="00B974E8" w:rsidRPr="00B974E8" w:rsidRDefault="00B974E8" w:rsidP="00B974E8">
            <w:pPr>
              <w:rPr>
                <w:lang w:val="nl-NL"/>
              </w:rPr>
            </w:pPr>
          </w:p>
          <w:p w:rsidR="00B974E8" w:rsidRPr="00B974E8" w:rsidRDefault="00B974E8" w:rsidP="00B974E8">
            <w:pPr>
              <w:rPr>
                <w:lang w:val="nl-NL"/>
              </w:rPr>
            </w:pPr>
          </w:p>
          <w:p w:rsidR="00B974E8" w:rsidRPr="00B974E8" w:rsidRDefault="00B974E8" w:rsidP="00B974E8">
            <w:pPr>
              <w:rPr>
                <w:b/>
                <w:bCs/>
                <w:i/>
                <w:iCs/>
                <w:sz w:val="26"/>
                <w:lang w:val="nl-NL"/>
              </w:rPr>
            </w:pPr>
          </w:p>
        </w:tc>
        <w:tc>
          <w:tcPr>
            <w:tcW w:w="4791" w:type="dxa"/>
          </w:tcPr>
          <w:p w:rsidR="00B974E8" w:rsidRPr="00524C2E" w:rsidRDefault="00B974E8" w:rsidP="007C0EFA">
            <w:pPr>
              <w:jc w:val="center"/>
              <w:rPr>
                <w:b/>
                <w:bCs/>
                <w:sz w:val="14"/>
                <w:lang w:val="nl-NL"/>
              </w:rPr>
            </w:pPr>
          </w:p>
          <w:p w:rsidR="00B974E8" w:rsidRPr="00572CF5" w:rsidRDefault="00B974E8" w:rsidP="007C0EFA">
            <w:pPr>
              <w:jc w:val="center"/>
              <w:rPr>
                <w:b/>
                <w:bCs/>
                <w:lang w:val="nl-NL"/>
              </w:rPr>
            </w:pPr>
            <w:r w:rsidRPr="00572CF5">
              <w:rPr>
                <w:b/>
                <w:bCs/>
                <w:lang w:val="nl-NL"/>
              </w:rPr>
              <w:t>TM. UỶ BAN NHÂN DÂN</w:t>
            </w:r>
          </w:p>
          <w:p w:rsidR="00B974E8" w:rsidRDefault="00B974E8" w:rsidP="007C0EFA">
            <w:pPr>
              <w:jc w:val="center"/>
              <w:rPr>
                <w:b/>
                <w:lang w:val="nl-NL"/>
              </w:rPr>
            </w:pPr>
            <w:r w:rsidRPr="00572CF5">
              <w:rPr>
                <w:b/>
                <w:lang w:val="nl-NL"/>
              </w:rPr>
              <w:t>CHỦ TỊCH</w:t>
            </w:r>
          </w:p>
          <w:p w:rsidR="00B974E8" w:rsidRDefault="00B974E8" w:rsidP="007C0EFA">
            <w:pPr>
              <w:jc w:val="center"/>
              <w:rPr>
                <w:b/>
                <w:lang w:val="nl-NL"/>
              </w:rPr>
            </w:pPr>
            <w:r>
              <w:rPr>
                <w:b/>
                <w:lang w:val="nl-NL"/>
              </w:rPr>
              <w:t>(Đã ký)</w:t>
            </w:r>
          </w:p>
          <w:p w:rsidR="00B974E8" w:rsidRDefault="00B974E8" w:rsidP="007C0EFA">
            <w:pPr>
              <w:jc w:val="center"/>
              <w:rPr>
                <w:b/>
                <w:lang w:val="nl-NL"/>
              </w:rPr>
            </w:pPr>
          </w:p>
          <w:p w:rsidR="00B974E8" w:rsidRPr="00572CF5" w:rsidRDefault="00B974E8" w:rsidP="007C0EFA">
            <w:pPr>
              <w:jc w:val="center"/>
              <w:rPr>
                <w:lang w:val="nl-NL"/>
              </w:rPr>
            </w:pPr>
            <w:r>
              <w:rPr>
                <w:b/>
                <w:lang w:val="nl-NL"/>
              </w:rPr>
              <w:t>Nguyễn Ngọc Sâm</w:t>
            </w:r>
          </w:p>
          <w:p w:rsidR="00B974E8" w:rsidRPr="00572CF5" w:rsidRDefault="00B974E8" w:rsidP="007C0EFA">
            <w:pPr>
              <w:rPr>
                <w:b/>
                <w:bCs/>
                <w:i/>
                <w:iCs/>
                <w:sz w:val="26"/>
                <w:lang w:val="nl-NL"/>
              </w:rPr>
            </w:pPr>
          </w:p>
        </w:tc>
      </w:tr>
    </w:tbl>
    <w:p w:rsidR="00B974E8" w:rsidRPr="00B974E8" w:rsidRDefault="00B974E8" w:rsidP="00B974E8">
      <w:pPr>
        <w:tabs>
          <w:tab w:val="left" w:pos="900"/>
        </w:tabs>
        <w:spacing w:before="120" w:after="120"/>
        <w:ind w:firstLine="709"/>
        <w:jc w:val="both"/>
        <w:rPr>
          <w:lang w:val="vi-VN"/>
        </w:rPr>
      </w:pPr>
      <w:r w:rsidRPr="00B974E8">
        <w:rPr>
          <w:lang w:val="vi-VN"/>
        </w:rPr>
        <w:tab/>
      </w:r>
    </w:p>
    <w:p w:rsidR="00E619B6" w:rsidRPr="00B974E8" w:rsidRDefault="00E619B6"/>
    <w:sectPr w:rsidR="00E619B6" w:rsidRPr="00B974E8"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compat/>
  <w:rsids>
    <w:rsidRoot w:val="00B974E8"/>
    <w:rsid w:val="00486948"/>
    <w:rsid w:val="0086205A"/>
    <w:rsid w:val="00B43735"/>
    <w:rsid w:val="00B80256"/>
    <w:rsid w:val="00B974E8"/>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E8"/>
    <w:pPr>
      <w:spacing w:before="0" w:after="0"/>
      <w:ind w:firstLine="0"/>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974E8"/>
    <w:pPr>
      <w:keepNext/>
      <w:jc w:val="center"/>
      <w:outlineLvl w:val="0"/>
    </w:pPr>
    <w:rPr>
      <w:b/>
    </w:rPr>
  </w:style>
  <w:style w:type="paragraph" w:styleId="Heading2">
    <w:name w:val="heading 2"/>
    <w:basedOn w:val="Normal"/>
    <w:next w:val="Normal"/>
    <w:link w:val="Heading2Char"/>
    <w:uiPriority w:val="9"/>
    <w:semiHidden/>
    <w:unhideWhenUsed/>
    <w:qFormat/>
    <w:rsid w:val="00B97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974E8"/>
    <w:pPr>
      <w:spacing w:before="240" w:after="60"/>
      <w:outlineLvl w:val="4"/>
    </w:pPr>
    <w:rPr>
      <w:rFonts w:ascii=".VnTime" w:hAnsi=".VnTime"/>
      <w:b/>
      <w:bCs/>
      <w:i/>
      <w:i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4E8"/>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B974E8"/>
    <w:rPr>
      <w:rFonts w:ascii=".VnTime" w:eastAsia="Times New Roman" w:hAnsi=".VnTime" w:cs="Times New Roman"/>
      <w:b/>
      <w:bCs/>
      <w:i/>
      <w:iCs/>
      <w:sz w:val="26"/>
      <w:szCs w:val="26"/>
      <w:lang w:val="vi-VN"/>
    </w:rPr>
  </w:style>
  <w:style w:type="character" w:customStyle="1" w:styleId="Heading2Char">
    <w:name w:val="Heading 2 Char"/>
    <w:basedOn w:val="DefaultParagraphFont"/>
    <w:link w:val="Heading2"/>
    <w:uiPriority w:val="9"/>
    <w:semiHidden/>
    <w:rsid w:val="00B974E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2018-06-20T08:24:00Z</dcterms:created>
  <dcterms:modified xsi:type="dcterms:W3CDTF">2018-06-20T08:28:00Z</dcterms:modified>
</cp:coreProperties>
</file>