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7"/>
        <w:gridCol w:w="6016"/>
      </w:tblGrid>
      <w:tr w:rsidR="0014422F" w:rsidRPr="00D80CA3" w:rsidTr="00787582">
        <w:trPr>
          <w:trHeight w:val="852"/>
        </w:trPr>
        <w:tc>
          <w:tcPr>
            <w:tcW w:w="3486" w:type="dxa"/>
          </w:tcPr>
          <w:p w:rsidR="0014422F" w:rsidRPr="00D10860" w:rsidRDefault="0014422F" w:rsidP="00787582">
            <w:pPr>
              <w:pStyle w:val="Vnbnnidung30"/>
              <w:shd w:val="clear" w:color="auto" w:fill="auto"/>
              <w:spacing w:before="0" w:after="0" w:line="240" w:lineRule="auto"/>
              <w:rPr>
                <w:rFonts w:ascii="Times New Roman" w:hAnsi="Times New Roman"/>
                <w:sz w:val="26"/>
                <w:szCs w:val="26"/>
              </w:rPr>
            </w:pPr>
            <w:r w:rsidRPr="00D10860">
              <w:rPr>
                <w:rFonts w:ascii="Times New Roman" w:hAnsi="Times New Roman"/>
                <w:sz w:val="26"/>
                <w:szCs w:val="26"/>
              </w:rPr>
              <w:t>TÒA ÁN NHÂN DÂN</w:t>
            </w:r>
          </w:p>
          <w:p w:rsidR="0014422F" w:rsidRPr="00D10860" w:rsidRDefault="0014422F" w:rsidP="00787582">
            <w:pPr>
              <w:pStyle w:val="Vnbnnidung30"/>
              <w:shd w:val="clear" w:color="auto" w:fill="auto"/>
              <w:spacing w:before="0" w:after="0" w:line="240" w:lineRule="auto"/>
              <w:rPr>
                <w:rFonts w:ascii="Times New Roman" w:hAnsi="Times New Roman"/>
                <w:sz w:val="26"/>
                <w:szCs w:val="26"/>
              </w:rPr>
            </w:pPr>
            <w:r w:rsidRPr="00D10860">
              <w:rPr>
                <w:rFonts w:ascii="Times New Roman" w:hAnsi="Times New Roman"/>
                <w:sz w:val="26"/>
                <w:szCs w:val="26"/>
              </w:rPr>
              <w:t>HUYỆN SA THẦY</w:t>
            </w:r>
          </w:p>
          <w:p w:rsidR="0014422F" w:rsidRPr="00D10860" w:rsidRDefault="0014422F" w:rsidP="00787582">
            <w:pPr>
              <w:pStyle w:val="Vnbnnidung30"/>
              <w:shd w:val="clear" w:color="auto" w:fill="auto"/>
              <w:spacing w:before="0" w:after="0" w:line="240" w:lineRule="auto"/>
              <w:rPr>
                <w:rFonts w:ascii="Times New Roman" w:hAnsi="Times New Roman"/>
              </w:rPr>
            </w:pPr>
            <w:r w:rsidRPr="00D10860">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3.2pt;margin-top:1.65pt;width:21.5pt;height:0;z-index:251660288" o:connectortype="straight"/>
              </w:pict>
            </w:r>
          </w:p>
        </w:tc>
        <w:tc>
          <w:tcPr>
            <w:tcW w:w="6101" w:type="dxa"/>
          </w:tcPr>
          <w:p w:rsidR="0014422F" w:rsidRPr="00D10860" w:rsidRDefault="0014422F" w:rsidP="00787582">
            <w:pPr>
              <w:pStyle w:val="Vnbnnidung30"/>
              <w:shd w:val="clear" w:color="auto" w:fill="auto"/>
              <w:spacing w:before="0" w:after="0" w:line="240" w:lineRule="auto"/>
              <w:rPr>
                <w:rFonts w:ascii="Times New Roman" w:hAnsi="Times New Roman"/>
                <w:sz w:val="26"/>
                <w:szCs w:val="26"/>
              </w:rPr>
            </w:pPr>
            <w:r w:rsidRPr="00D10860">
              <w:rPr>
                <w:rFonts w:ascii="Times New Roman" w:hAnsi="Times New Roman"/>
                <w:sz w:val="26"/>
                <w:szCs w:val="26"/>
              </w:rPr>
              <w:t>CỘNG HÒA XÃ HỘI CHỦ NGHĨA VIỆT NAM</w:t>
            </w:r>
          </w:p>
          <w:p w:rsidR="0014422F" w:rsidRPr="00D10860" w:rsidRDefault="0014422F" w:rsidP="00787582">
            <w:pPr>
              <w:jc w:val="center"/>
              <w:rPr>
                <w:color w:val="auto"/>
              </w:rPr>
            </w:pPr>
            <w:r w:rsidRPr="00D10860">
              <w:rPr>
                <w:b/>
                <w:noProof/>
                <w:color w:val="auto"/>
              </w:rPr>
              <w:pict>
                <v:shape id="_x0000_s1027" type="#_x0000_t32" style="position:absolute;left:0;text-align:left;margin-left:61.3pt;margin-top:19.7pt;width:165.5pt;height:0;z-index:251661312" o:connectortype="straight"/>
              </w:pict>
            </w:r>
            <w:r w:rsidRPr="00D10860">
              <w:rPr>
                <w:b/>
                <w:color w:val="auto"/>
              </w:rPr>
              <w:t>Độc lập – Tự do – Hạnh phúc</w:t>
            </w:r>
          </w:p>
        </w:tc>
      </w:tr>
    </w:tbl>
    <w:p w:rsidR="0014422F" w:rsidRDefault="0014422F" w:rsidP="0014422F">
      <w:pPr>
        <w:widowControl w:val="0"/>
        <w:tabs>
          <w:tab w:val="left" w:pos="896"/>
        </w:tabs>
        <w:spacing w:after="184" w:line="322" w:lineRule="exact"/>
        <w:ind w:left="760"/>
        <w:jc w:val="both"/>
        <w:rPr>
          <w:rStyle w:val="Vnbnnidung8"/>
        </w:rPr>
      </w:pPr>
    </w:p>
    <w:p w:rsidR="0014422F" w:rsidRPr="0023594F" w:rsidRDefault="0014422F" w:rsidP="0014422F">
      <w:pPr>
        <w:widowControl w:val="0"/>
        <w:ind w:left="760"/>
        <w:jc w:val="center"/>
        <w:rPr>
          <w:rStyle w:val="Vnbnnidung8"/>
          <w:b/>
          <w:color w:val="auto"/>
        </w:rPr>
      </w:pPr>
      <w:r w:rsidRPr="0023594F">
        <w:rPr>
          <w:rStyle w:val="Vnbnnidung8"/>
          <w:b/>
          <w:color w:val="auto"/>
        </w:rPr>
        <w:t>BÁO CÁO GIẢI TRÌNH</w:t>
      </w:r>
    </w:p>
    <w:p w:rsidR="0014422F" w:rsidRPr="0023594F" w:rsidRDefault="0014422F" w:rsidP="0014422F">
      <w:pPr>
        <w:widowControl w:val="0"/>
        <w:ind w:left="760"/>
        <w:jc w:val="center"/>
        <w:rPr>
          <w:rStyle w:val="Vnbnnidung8"/>
          <w:b/>
          <w:color w:val="auto"/>
        </w:rPr>
      </w:pPr>
      <w:r w:rsidRPr="0023594F">
        <w:rPr>
          <w:rStyle w:val="Vnbnnidung8"/>
          <w:b/>
          <w:color w:val="auto"/>
        </w:rPr>
        <w:t>Tại kỳ họp thứ 2 HĐND huyện khóa X, nhiệm kỳ 2016-2021</w:t>
      </w:r>
    </w:p>
    <w:p w:rsidR="0014422F" w:rsidRPr="0023594F" w:rsidRDefault="0014422F" w:rsidP="0014422F">
      <w:pPr>
        <w:widowControl w:val="0"/>
        <w:tabs>
          <w:tab w:val="left" w:pos="896"/>
        </w:tabs>
        <w:spacing w:after="184" w:line="322" w:lineRule="exact"/>
        <w:ind w:left="760"/>
        <w:jc w:val="both"/>
        <w:rPr>
          <w:rStyle w:val="Vnbnnidung8"/>
        </w:rPr>
      </w:pPr>
      <w:r>
        <w:rPr>
          <w:noProof/>
        </w:rPr>
        <w:pict>
          <v:shape id="_x0000_s1028" type="#_x0000_t32" style="position:absolute;left:0;text-align:left;margin-left:228pt;margin-top:4.1pt;width:35.7pt;height:0;z-index:251662336" o:connectortype="straight"/>
        </w:pict>
      </w:r>
    </w:p>
    <w:p w:rsidR="0014422F" w:rsidRPr="00D10860" w:rsidRDefault="0014422F" w:rsidP="0014422F">
      <w:pPr>
        <w:widowControl w:val="0"/>
        <w:tabs>
          <w:tab w:val="left" w:pos="896"/>
        </w:tabs>
        <w:spacing w:before="120" w:after="120"/>
        <w:ind w:firstLine="709"/>
        <w:jc w:val="both"/>
        <w:rPr>
          <w:szCs w:val="28"/>
        </w:rPr>
      </w:pPr>
      <w:r w:rsidRPr="00D10860">
        <w:rPr>
          <w:rStyle w:val="Vnbnnidung8"/>
          <w:rFonts w:eastAsiaTheme="majorEastAsia"/>
          <w:sz w:val="28"/>
          <w:szCs w:val="28"/>
        </w:rPr>
        <w:t xml:space="preserve">Thực hiện công văn số 45/HĐND ngày 17/8/2016 của Thường trực HĐND huyện về việc giải trình làm rõ một số ý kiến còn khác nhau về nội dung trình kỳ họp thứ 2 </w:t>
      </w:r>
      <w:r w:rsidRPr="00D10860">
        <w:rPr>
          <w:rStyle w:val="Vnbnnidung8"/>
          <w:rFonts w:eastAsiaTheme="majorEastAsia"/>
          <w:sz w:val="28"/>
          <w:szCs w:val="28"/>
          <w:lang w:bidi="en-US"/>
        </w:rPr>
        <w:t xml:space="preserve">HDND </w:t>
      </w:r>
      <w:r w:rsidRPr="00D10860">
        <w:rPr>
          <w:rStyle w:val="Vnbnnidung8"/>
          <w:rFonts w:eastAsiaTheme="majorEastAsia"/>
          <w:sz w:val="28"/>
          <w:szCs w:val="28"/>
        </w:rPr>
        <w:t>huyện khóa X,</w:t>
      </w:r>
    </w:p>
    <w:p w:rsidR="0014422F" w:rsidRPr="00D10860" w:rsidRDefault="0014422F" w:rsidP="0014422F">
      <w:pPr>
        <w:widowControl w:val="0"/>
        <w:tabs>
          <w:tab w:val="left" w:pos="901"/>
        </w:tabs>
        <w:spacing w:before="120" w:after="120"/>
        <w:ind w:firstLine="709"/>
        <w:jc w:val="both"/>
        <w:rPr>
          <w:szCs w:val="28"/>
        </w:rPr>
      </w:pPr>
      <w:r w:rsidRPr="00D10860">
        <w:rPr>
          <w:rStyle w:val="Vnbnnidung8"/>
          <w:rFonts w:eastAsiaTheme="majorEastAsia"/>
          <w:sz w:val="28"/>
          <w:szCs w:val="28"/>
        </w:rPr>
        <w:t>Thực hiện yêu cầu giải trình của báo cáo tổng hợp ý kiến thảo luận tại kỳ họp thứ 2 - HĐND huyện khóa X,</w:t>
      </w:r>
    </w:p>
    <w:p w:rsidR="0014422F" w:rsidRPr="00D10860" w:rsidRDefault="0014422F" w:rsidP="0014422F">
      <w:pPr>
        <w:spacing w:before="120" w:after="120"/>
        <w:ind w:firstLine="709"/>
        <w:jc w:val="both"/>
        <w:rPr>
          <w:szCs w:val="28"/>
        </w:rPr>
      </w:pPr>
      <w:r w:rsidRPr="00D10860">
        <w:rPr>
          <w:rStyle w:val="Vnbnnidung8"/>
          <w:rFonts w:eastAsiaTheme="majorEastAsia"/>
          <w:sz w:val="28"/>
          <w:szCs w:val="28"/>
        </w:rPr>
        <w:t>TAND huyện Sa Thầy, xin được giải trình như sau:</w:t>
      </w:r>
    </w:p>
    <w:p w:rsidR="0014422F" w:rsidRPr="00D10860" w:rsidRDefault="0014422F" w:rsidP="0014422F">
      <w:pPr>
        <w:pStyle w:val="Tiu40"/>
        <w:keepNext/>
        <w:keepLines/>
        <w:shd w:val="clear" w:color="auto" w:fill="auto"/>
        <w:tabs>
          <w:tab w:val="left" w:pos="1123"/>
        </w:tabs>
        <w:spacing w:before="120" w:after="120" w:line="240" w:lineRule="auto"/>
        <w:ind w:firstLine="709"/>
        <w:jc w:val="both"/>
        <w:rPr>
          <w:rFonts w:ascii="Times New Roman" w:hAnsi="Times New Roman"/>
          <w:sz w:val="28"/>
          <w:szCs w:val="28"/>
        </w:rPr>
      </w:pPr>
      <w:r w:rsidRPr="00D10860">
        <w:rPr>
          <w:rStyle w:val="Tiu419pt"/>
          <w:rFonts w:eastAsia="Arial"/>
          <w:b w:val="0"/>
          <w:sz w:val="28"/>
          <w:szCs w:val="28"/>
        </w:rPr>
        <w:t>1. Về</w:t>
      </w:r>
      <w:r w:rsidRPr="00D10860">
        <w:rPr>
          <w:rStyle w:val="Tiu419pt"/>
          <w:sz w:val="28"/>
          <w:szCs w:val="28"/>
        </w:rPr>
        <w:t xml:space="preserve"> </w:t>
      </w:r>
      <w:r w:rsidRPr="00D10860">
        <w:rPr>
          <w:rFonts w:ascii="Times New Roman" w:hAnsi="Times New Roman"/>
          <w:sz w:val="28"/>
          <w:szCs w:val="28"/>
        </w:rPr>
        <w:t>các số liệu trong báo cáo, không so sánh cùng kỳ năm trước</w:t>
      </w:r>
    </w:p>
    <w:p w:rsidR="0014422F" w:rsidRPr="00D10860" w:rsidRDefault="0014422F" w:rsidP="0014422F">
      <w:pPr>
        <w:spacing w:before="120" w:after="120"/>
        <w:ind w:firstLine="709"/>
        <w:jc w:val="both"/>
        <w:rPr>
          <w:szCs w:val="28"/>
        </w:rPr>
      </w:pPr>
      <w:r w:rsidRPr="00D10860">
        <w:rPr>
          <w:rStyle w:val="Vnbnnidung8"/>
          <w:rFonts w:eastAsiaTheme="majorEastAsia"/>
          <w:sz w:val="28"/>
          <w:szCs w:val="28"/>
        </w:rPr>
        <w:t>Qua báo cáo và ý kiến của đại biểu HĐND, Tòa án xin nhận thiếu sót về vấn đề này, rút kinh nghiệm để các kỳ báo cáo sau được thực hiện tốt hơn.</w:t>
      </w:r>
    </w:p>
    <w:p w:rsidR="0014422F" w:rsidRPr="00D10860" w:rsidRDefault="0014422F" w:rsidP="0014422F">
      <w:pPr>
        <w:spacing w:before="120" w:after="120"/>
        <w:ind w:firstLine="709"/>
        <w:jc w:val="both"/>
        <w:rPr>
          <w:szCs w:val="28"/>
        </w:rPr>
      </w:pPr>
      <w:r w:rsidRPr="00D10860">
        <w:rPr>
          <w:rStyle w:val="Vnbnnidung8"/>
          <w:rFonts w:eastAsiaTheme="majorEastAsia"/>
          <w:sz w:val="28"/>
          <w:szCs w:val="28"/>
        </w:rPr>
        <w:t>TAND huyện xin được báo cáo cụ thể về các số liệu như sau:</w:t>
      </w:r>
    </w:p>
    <w:p w:rsidR="0014422F" w:rsidRPr="00D10860" w:rsidRDefault="0014422F" w:rsidP="0014422F">
      <w:pPr>
        <w:spacing w:before="120" w:after="120"/>
        <w:ind w:firstLine="709"/>
        <w:jc w:val="both"/>
        <w:rPr>
          <w:szCs w:val="28"/>
        </w:rPr>
      </w:pPr>
      <w:r w:rsidRPr="00D10860">
        <w:rPr>
          <w:rStyle w:val="Vnbnnidung8"/>
          <w:rFonts w:eastAsiaTheme="majorEastAsia"/>
          <w:sz w:val="28"/>
          <w:szCs w:val="28"/>
        </w:rPr>
        <w:t>Tổng số thụ lý sáu tháng đầu năm 84 vụ. Trong đó, thụ lý cũ chuyển qua 21 vụ, so với cùng kỳ năm trước tăng 6 vụ. Án tăng chủ yếu Hình sự, Dân sự, Hôn nhân gia đình, riêng án Hành chính năm nay không thụ lý vụ nào.</w:t>
      </w:r>
    </w:p>
    <w:p w:rsidR="0014422F" w:rsidRPr="00D10860" w:rsidRDefault="0014422F" w:rsidP="0014422F">
      <w:pPr>
        <w:pStyle w:val="Tiu40"/>
        <w:keepNext/>
        <w:keepLines/>
        <w:shd w:val="clear" w:color="auto" w:fill="auto"/>
        <w:tabs>
          <w:tab w:val="left" w:pos="1138"/>
        </w:tabs>
        <w:spacing w:before="120" w:after="120" w:line="240" w:lineRule="auto"/>
        <w:ind w:firstLine="709"/>
        <w:jc w:val="both"/>
        <w:rPr>
          <w:rFonts w:ascii="Times New Roman" w:hAnsi="Times New Roman"/>
          <w:sz w:val="28"/>
          <w:szCs w:val="28"/>
        </w:rPr>
      </w:pPr>
      <w:r w:rsidRPr="00D10860">
        <w:rPr>
          <w:rFonts w:ascii="Times New Roman" w:hAnsi="Times New Roman"/>
          <w:sz w:val="28"/>
          <w:szCs w:val="28"/>
        </w:rPr>
        <w:t>2. Đối với vụ án Hình sự bị hủy do lỗi chủ quan của Thẩm phán</w:t>
      </w:r>
    </w:p>
    <w:p w:rsidR="0014422F" w:rsidRPr="00D10860" w:rsidRDefault="0014422F" w:rsidP="0014422F">
      <w:pPr>
        <w:spacing w:before="120" w:after="120"/>
        <w:ind w:firstLine="709"/>
        <w:jc w:val="both"/>
        <w:rPr>
          <w:szCs w:val="28"/>
        </w:rPr>
      </w:pPr>
      <w:r w:rsidRPr="00D10860">
        <w:rPr>
          <w:rStyle w:val="Vnbnnidung8"/>
          <w:rFonts w:eastAsiaTheme="majorEastAsia"/>
          <w:sz w:val="28"/>
          <w:szCs w:val="28"/>
        </w:rPr>
        <w:t xml:space="preserve">Vụ án hình sự bị hủy là vụ án Truy tố 2 bị cáo Lê Tử Trung và Ngô Cao Sơn bị truy tố về tội </w:t>
      </w:r>
      <w:r w:rsidRPr="00D10860">
        <w:rPr>
          <w:rStyle w:val="Vnbnnidung8Innghing"/>
          <w:sz w:val="28"/>
          <w:szCs w:val="28"/>
        </w:rPr>
        <w:t>“Cố ý gây thương tích”</w:t>
      </w:r>
      <w:r w:rsidRPr="00D10860">
        <w:rPr>
          <w:rStyle w:val="Vnbnnidung8"/>
          <w:rFonts w:eastAsiaTheme="majorEastAsia"/>
          <w:sz w:val="28"/>
          <w:szCs w:val="28"/>
        </w:rPr>
        <w:t xml:space="preserve"> theo khoản 3, Điều 104 Bộ luật Hình sự với tỷ lệ thương tật cho ngươi bị hại là 49%. Lý do hủy: Do kết luận giám định pháp y của Tổ chức giám định pháp y không phù hợp với thương tích tại trích sao bệnh án và giấy chứng nhận thương tích. Tại phiên tòa phúc thẩm không thể bổ sung, làm rõ được nên hủy án để cấp sơ thẩm điều tra bổ sung.</w:t>
      </w:r>
    </w:p>
    <w:p w:rsidR="0014422F" w:rsidRPr="00D10860" w:rsidRDefault="0014422F" w:rsidP="0014422F">
      <w:pPr>
        <w:spacing w:before="120" w:after="120"/>
        <w:ind w:firstLine="709"/>
        <w:jc w:val="both"/>
        <w:rPr>
          <w:szCs w:val="28"/>
        </w:rPr>
      </w:pPr>
      <w:r w:rsidRPr="00D10860">
        <w:rPr>
          <w:rStyle w:val="Vnbnnidung8"/>
          <w:rFonts w:eastAsiaTheme="majorEastAsia"/>
          <w:sz w:val="28"/>
          <w:szCs w:val="28"/>
        </w:rPr>
        <w:t>Quá trình thụ lý xét xử vụ án, Thẩm phán chủ tọa phiên tòa và Hội đồng xét xử không phát hiện được để xử lý tại cấp sơ thẩm. Việc xem xét, đánh giá chứng cứ theo quy định của pháp luật phải toàn diện, khách quan, Thẩm phán bắt buộc phải xem xét. Song, Thẩm phán đã không đánh giá, xem xét đầy đủ. Do đó, việc hủy án là do lỗi chủ quan của Thẩm phán.</w:t>
      </w:r>
    </w:p>
    <w:p w:rsidR="0014422F" w:rsidRPr="00D10860" w:rsidRDefault="0014422F" w:rsidP="0014422F">
      <w:pPr>
        <w:spacing w:before="120" w:after="120"/>
        <w:ind w:firstLine="709"/>
        <w:jc w:val="both"/>
        <w:rPr>
          <w:szCs w:val="28"/>
        </w:rPr>
      </w:pPr>
      <w:r w:rsidRPr="00D10860">
        <w:rPr>
          <w:rStyle w:val="Vnbnnidung8"/>
          <w:rFonts w:eastAsiaTheme="majorEastAsia"/>
          <w:sz w:val="28"/>
          <w:szCs w:val="28"/>
        </w:rPr>
        <w:t>Sau khi vụ án bị hủy, đơn vị đã tổ chức họp kiểm điểm rút kinh nghiệm. Thẩm phán đã nhận khuyết điểm, rút kinh nghiệm. Hiện nay vụ án đang được Cơ quan điều tra tiếp tục điều tra, chưa có kết quả.</w:t>
      </w:r>
    </w:p>
    <w:p w:rsidR="0014422F" w:rsidRPr="00D10860" w:rsidRDefault="0014422F" w:rsidP="0014422F">
      <w:pPr>
        <w:pStyle w:val="Vnbnnidung50"/>
        <w:shd w:val="clear" w:color="auto" w:fill="auto"/>
        <w:tabs>
          <w:tab w:val="left" w:pos="1182"/>
        </w:tabs>
        <w:spacing w:before="120" w:line="240" w:lineRule="auto"/>
        <w:ind w:right="4860" w:firstLine="709"/>
        <w:rPr>
          <w:rFonts w:ascii="Times New Roman" w:hAnsi="Times New Roman"/>
          <w:b/>
          <w:i w:val="0"/>
          <w:sz w:val="28"/>
          <w:szCs w:val="28"/>
        </w:rPr>
      </w:pPr>
      <w:r w:rsidRPr="00D10860">
        <w:rPr>
          <w:rFonts w:ascii="Times New Roman" w:hAnsi="Times New Roman"/>
          <w:b/>
          <w:bCs/>
          <w:i w:val="0"/>
          <w:sz w:val="28"/>
          <w:szCs w:val="28"/>
        </w:rPr>
        <w:t xml:space="preserve">3. Đối với vụ án hình sự đình chỉ </w:t>
      </w:r>
    </w:p>
    <w:p w:rsidR="0014422F" w:rsidRPr="00D10860" w:rsidRDefault="0014422F" w:rsidP="0014422F">
      <w:pPr>
        <w:spacing w:before="120" w:after="120"/>
        <w:ind w:firstLine="709"/>
        <w:jc w:val="both"/>
        <w:rPr>
          <w:szCs w:val="28"/>
        </w:rPr>
      </w:pPr>
      <w:r w:rsidRPr="00D10860">
        <w:rPr>
          <w:rStyle w:val="Vnbnnidung8"/>
          <w:rFonts w:eastAsiaTheme="majorEastAsia"/>
          <w:sz w:val="28"/>
          <w:szCs w:val="28"/>
        </w:rPr>
        <w:t xml:space="preserve">Đây là vụ án bị cáo Xa Văn Năng, Nguyễn Trung Cường và Lương Hiếu Đông bị truy tố về tội </w:t>
      </w:r>
      <w:r w:rsidRPr="00D10860">
        <w:rPr>
          <w:rStyle w:val="Vnbnnidung8Innghing"/>
          <w:sz w:val="28"/>
          <w:szCs w:val="28"/>
        </w:rPr>
        <w:t>“Cố ý gây thương tích"</w:t>
      </w:r>
      <w:r w:rsidRPr="00D10860">
        <w:rPr>
          <w:rStyle w:val="Vnbnnidung8"/>
          <w:rFonts w:eastAsiaTheme="majorEastAsia"/>
          <w:sz w:val="28"/>
          <w:szCs w:val="28"/>
        </w:rPr>
        <w:t xml:space="preserve"> theo khoản 1, Điều 104 Bộ luật Hình sự. Đây là vụ án truy tố theo yêu cầu người bị hại. Khi người bị hại có đơn rút yêu </w:t>
      </w:r>
      <w:r w:rsidRPr="00D10860">
        <w:rPr>
          <w:rStyle w:val="Vnbnnidung8"/>
          <w:rFonts w:eastAsiaTheme="majorEastAsia"/>
          <w:sz w:val="28"/>
          <w:szCs w:val="28"/>
        </w:rPr>
        <w:lastRenderedPageBreak/>
        <w:t>cầu truy tố, Tòa án ra Quyết định đình chỉ theo Điều 180 Bộ luật Tố tụng hình</w:t>
      </w:r>
      <w:r w:rsidRPr="00D10860">
        <w:rPr>
          <w:szCs w:val="28"/>
        </w:rPr>
        <w:t xml:space="preserve"> </w:t>
      </w:r>
      <w:r w:rsidRPr="00D10860">
        <w:rPr>
          <w:rStyle w:val="Vnbnnidung8"/>
          <w:rFonts w:eastAsiaTheme="majorEastAsia"/>
          <w:sz w:val="28"/>
          <w:szCs w:val="28"/>
        </w:rPr>
        <w:t>sự.</w:t>
      </w:r>
      <w:r w:rsidRPr="00D10860">
        <w:rPr>
          <w:szCs w:val="28"/>
        </w:rPr>
        <w:t xml:space="preserve"> </w:t>
      </w:r>
      <w:r w:rsidRPr="00D10860">
        <w:rPr>
          <w:rStyle w:val="Vnbnnidung8"/>
          <w:rFonts w:eastAsiaTheme="majorEastAsia"/>
          <w:sz w:val="28"/>
          <w:szCs w:val="28"/>
        </w:rPr>
        <w:t>Việc ra Quyết định đình chỉ vụ án của Tòa án là đúng theo quy định của Pháp luật.</w:t>
      </w:r>
    </w:p>
    <w:p w:rsidR="0014422F" w:rsidRPr="00D10860" w:rsidRDefault="0014422F" w:rsidP="0014422F">
      <w:pPr>
        <w:pStyle w:val="Vnbnnidung50"/>
        <w:shd w:val="clear" w:color="auto" w:fill="auto"/>
        <w:tabs>
          <w:tab w:val="left" w:pos="1177"/>
        </w:tabs>
        <w:spacing w:before="120" w:line="240" w:lineRule="auto"/>
        <w:ind w:firstLine="709"/>
        <w:rPr>
          <w:rFonts w:ascii="Times New Roman" w:hAnsi="Times New Roman"/>
          <w:i w:val="0"/>
          <w:sz w:val="28"/>
          <w:szCs w:val="28"/>
        </w:rPr>
      </w:pPr>
      <w:r w:rsidRPr="00D10860">
        <w:rPr>
          <w:rFonts w:ascii="Times New Roman" w:hAnsi="Times New Roman"/>
          <w:b/>
          <w:bCs/>
          <w:i w:val="0"/>
          <w:sz w:val="28"/>
          <w:szCs w:val="28"/>
        </w:rPr>
        <w:t>4. Đối với việc đình chỉ 04 vụ án Dân sự, 10 vụ Hôn nhân gia đình</w:t>
      </w:r>
    </w:p>
    <w:p w:rsidR="0014422F" w:rsidRPr="00D10860" w:rsidRDefault="0014422F" w:rsidP="0014422F">
      <w:pPr>
        <w:spacing w:before="120" w:after="120"/>
        <w:ind w:firstLine="709"/>
        <w:jc w:val="both"/>
        <w:rPr>
          <w:szCs w:val="28"/>
        </w:rPr>
      </w:pPr>
      <w:r w:rsidRPr="00D10860">
        <w:rPr>
          <w:rStyle w:val="Vnbnnidung8"/>
          <w:rFonts w:eastAsiaTheme="majorEastAsia"/>
          <w:sz w:val="28"/>
          <w:szCs w:val="28"/>
        </w:rPr>
        <w:t>Việc đình chỉ 04 vụ án Dân sự và 10 vụ án Hôn nhân gia đình Tòa án thực hiện theo quy định tại Điều 192 Bộ luật Tố tụng dân sự, khi nguyên đơn rút đơn khởi kiện.</w:t>
      </w:r>
      <w:r w:rsidRPr="00D10860">
        <w:rPr>
          <w:szCs w:val="28"/>
        </w:rPr>
        <w:t xml:space="preserve"> </w:t>
      </w:r>
      <w:r w:rsidRPr="00D10860">
        <w:rPr>
          <w:rStyle w:val="Vnbnnidung8"/>
          <w:rFonts w:eastAsiaTheme="majorEastAsia"/>
          <w:sz w:val="28"/>
          <w:szCs w:val="28"/>
        </w:rPr>
        <w:t>Việc đình chỉ vụ án dân sự, Hôn nhân gia đình là đúng quy định pháp luật.</w:t>
      </w:r>
    </w:p>
    <w:p w:rsidR="0014422F" w:rsidRPr="00D10860" w:rsidRDefault="0014422F" w:rsidP="0014422F">
      <w:pPr>
        <w:spacing w:before="120" w:after="120"/>
        <w:ind w:firstLine="709"/>
        <w:jc w:val="both"/>
        <w:rPr>
          <w:rStyle w:val="Vnbnnidung8"/>
          <w:rFonts w:eastAsiaTheme="majorEastAsia"/>
          <w:sz w:val="28"/>
          <w:szCs w:val="28"/>
        </w:rPr>
      </w:pPr>
      <w:r w:rsidRPr="00D10860">
        <w:rPr>
          <w:rStyle w:val="Vnbnnidung8"/>
          <w:rFonts w:eastAsiaTheme="majorEastAsia"/>
          <w:sz w:val="28"/>
          <w:szCs w:val="28"/>
        </w:rPr>
        <w:t>Trên đây là báo cáo giải trình của Tòa án nhân huyện Sa Thầy trước kỳ họp thứ 2, HĐND huyện khóa X để các vị đại biểu biết và theo dõi, giám sát./.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6"/>
      </w:tblGrid>
      <w:tr w:rsidR="0014422F" w:rsidRPr="002F2B7D" w:rsidTr="00787582">
        <w:trPr>
          <w:trHeight w:val="1338"/>
        </w:trPr>
        <w:tc>
          <w:tcPr>
            <w:tcW w:w="4699" w:type="dxa"/>
          </w:tcPr>
          <w:p w:rsidR="0014422F" w:rsidRPr="002F2B7D" w:rsidRDefault="0014422F" w:rsidP="00787582">
            <w:pPr>
              <w:jc w:val="both"/>
              <w:rPr>
                <w:b/>
                <w:i/>
                <w:color w:val="auto"/>
                <w:sz w:val="24"/>
                <w:szCs w:val="24"/>
              </w:rPr>
            </w:pPr>
            <w:r w:rsidRPr="002F2B7D">
              <w:rPr>
                <w:b/>
                <w:i/>
                <w:color w:val="auto"/>
                <w:sz w:val="24"/>
                <w:szCs w:val="24"/>
              </w:rPr>
              <w:t>Nơi nhận:</w:t>
            </w:r>
          </w:p>
          <w:p w:rsidR="0014422F" w:rsidRPr="002F2B7D" w:rsidRDefault="0014422F" w:rsidP="00787582">
            <w:pPr>
              <w:jc w:val="both"/>
              <w:rPr>
                <w:color w:val="auto"/>
                <w:sz w:val="22"/>
              </w:rPr>
            </w:pPr>
            <w:r w:rsidRPr="002F2B7D">
              <w:rPr>
                <w:color w:val="auto"/>
                <w:sz w:val="22"/>
              </w:rPr>
              <w:t>- HĐND huyện;</w:t>
            </w:r>
          </w:p>
          <w:p w:rsidR="0014422F" w:rsidRPr="002F2B7D" w:rsidRDefault="0014422F" w:rsidP="00787582">
            <w:pPr>
              <w:jc w:val="both"/>
              <w:rPr>
                <w:color w:val="auto"/>
                <w:szCs w:val="28"/>
              </w:rPr>
            </w:pPr>
            <w:r w:rsidRPr="002F2B7D">
              <w:rPr>
                <w:color w:val="auto"/>
                <w:sz w:val="22"/>
              </w:rPr>
              <w:t>- Lưu: VT.</w:t>
            </w:r>
          </w:p>
        </w:tc>
        <w:tc>
          <w:tcPr>
            <w:tcW w:w="4807" w:type="dxa"/>
          </w:tcPr>
          <w:p w:rsidR="0014422F" w:rsidRPr="002F2B7D" w:rsidRDefault="0014422F" w:rsidP="00787582">
            <w:pPr>
              <w:jc w:val="center"/>
              <w:rPr>
                <w:b/>
                <w:color w:val="auto"/>
                <w:szCs w:val="28"/>
              </w:rPr>
            </w:pPr>
            <w:r w:rsidRPr="002F2B7D">
              <w:rPr>
                <w:b/>
                <w:color w:val="auto"/>
                <w:szCs w:val="28"/>
              </w:rPr>
              <w:t>CHÁNH ÁN</w:t>
            </w:r>
          </w:p>
          <w:p w:rsidR="0014422F" w:rsidRPr="002F2B7D" w:rsidRDefault="0014422F" w:rsidP="00787582">
            <w:pPr>
              <w:jc w:val="center"/>
              <w:rPr>
                <w:b/>
                <w:color w:val="auto"/>
                <w:szCs w:val="28"/>
              </w:rPr>
            </w:pPr>
            <w:r w:rsidRPr="002F2B7D">
              <w:rPr>
                <w:b/>
                <w:color w:val="auto"/>
                <w:szCs w:val="28"/>
              </w:rPr>
              <w:t>(Đã ký)</w:t>
            </w:r>
          </w:p>
          <w:p w:rsidR="0014422F" w:rsidRPr="002F2B7D" w:rsidRDefault="0014422F" w:rsidP="00787582">
            <w:pPr>
              <w:jc w:val="center"/>
              <w:rPr>
                <w:b/>
                <w:color w:val="auto"/>
                <w:szCs w:val="28"/>
              </w:rPr>
            </w:pPr>
          </w:p>
          <w:p w:rsidR="0014422F" w:rsidRPr="002F2B7D" w:rsidRDefault="0014422F" w:rsidP="00787582">
            <w:pPr>
              <w:jc w:val="center"/>
              <w:rPr>
                <w:b/>
                <w:color w:val="auto"/>
                <w:szCs w:val="28"/>
              </w:rPr>
            </w:pPr>
            <w:r w:rsidRPr="002F2B7D">
              <w:rPr>
                <w:b/>
                <w:color w:val="auto"/>
                <w:szCs w:val="28"/>
              </w:rPr>
              <w:t>Thiều Thị Dũng</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14422F"/>
    <w:rsid w:val="0014422F"/>
    <w:rsid w:val="0086205A"/>
    <w:rsid w:val="00D10860"/>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2F"/>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22F"/>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5">
    <w:name w:val="Văn bản nội dung (5)_"/>
    <w:basedOn w:val="DefaultParagraphFont"/>
    <w:link w:val="Vnbnnidung50"/>
    <w:rsid w:val="0014422F"/>
    <w:rPr>
      <w:rFonts w:eastAsia="Times New Roman" w:cs="Times New Roman"/>
      <w:i/>
      <w:iCs/>
      <w:sz w:val="26"/>
      <w:szCs w:val="26"/>
      <w:shd w:val="clear" w:color="auto" w:fill="FFFFFF"/>
    </w:rPr>
  </w:style>
  <w:style w:type="paragraph" w:customStyle="1" w:styleId="Vnbnnidung50">
    <w:name w:val="Văn bản nội dung (5)"/>
    <w:basedOn w:val="Normal"/>
    <w:link w:val="Vnbnnidung5"/>
    <w:rsid w:val="0014422F"/>
    <w:pPr>
      <w:widowControl w:val="0"/>
      <w:shd w:val="clear" w:color="auto" w:fill="FFFFFF"/>
      <w:spacing w:after="120" w:line="0" w:lineRule="atLeast"/>
      <w:jc w:val="both"/>
    </w:pPr>
    <w:rPr>
      <w:rFonts w:asciiTheme="minorHAnsi" w:hAnsiTheme="minorHAnsi"/>
      <w:i/>
      <w:iCs/>
      <w:color w:val="auto"/>
      <w:sz w:val="26"/>
      <w:szCs w:val="26"/>
    </w:rPr>
  </w:style>
  <w:style w:type="character" w:customStyle="1" w:styleId="Vnbnnidung3">
    <w:name w:val="Văn bản nội dung (3)_"/>
    <w:basedOn w:val="DefaultParagraphFont"/>
    <w:link w:val="Vnbnnidung30"/>
    <w:rsid w:val="0014422F"/>
    <w:rPr>
      <w:rFonts w:eastAsia="Times New Roman" w:cs="Times New Roman"/>
      <w:b/>
      <w:bCs/>
      <w:shd w:val="clear" w:color="auto" w:fill="FFFFFF"/>
    </w:rPr>
  </w:style>
  <w:style w:type="paragraph" w:customStyle="1" w:styleId="Vnbnnidung30">
    <w:name w:val="Văn bản nội dung (3)"/>
    <w:basedOn w:val="Normal"/>
    <w:link w:val="Vnbnnidung3"/>
    <w:rsid w:val="0014422F"/>
    <w:pPr>
      <w:widowControl w:val="0"/>
      <w:shd w:val="clear" w:color="auto" w:fill="FFFFFF"/>
      <w:spacing w:before="240" w:after="60" w:line="0" w:lineRule="atLeast"/>
      <w:jc w:val="center"/>
    </w:pPr>
    <w:rPr>
      <w:rFonts w:asciiTheme="minorHAnsi" w:hAnsiTheme="minorHAnsi"/>
      <w:b/>
      <w:bCs/>
      <w:color w:val="auto"/>
      <w:sz w:val="22"/>
      <w:szCs w:val="22"/>
    </w:rPr>
  </w:style>
  <w:style w:type="character" w:customStyle="1" w:styleId="Tiu4">
    <w:name w:val="Tiêu đề #4_"/>
    <w:basedOn w:val="DefaultParagraphFont"/>
    <w:link w:val="Tiu40"/>
    <w:rsid w:val="0014422F"/>
    <w:rPr>
      <w:rFonts w:eastAsia="Times New Roman" w:cs="Times New Roman"/>
      <w:b/>
      <w:bCs/>
      <w:shd w:val="clear" w:color="auto" w:fill="FFFFFF"/>
    </w:rPr>
  </w:style>
  <w:style w:type="paragraph" w:customStyle="1" w:styleId="Tiu40">
    <w:name w:val="Tiêu đề #4"/>
    <w:basedOn w:val="Normal"/>
    <w:link w:val="Tiu4"/>
    <w:rsid w:val="0014422F"/>
    <w:pPr>
      <w:widowControl w:val="0"/>
      <w:shd w:val="clear" w:color="auto" w:fill="FFFFFF"/>
      <w:spacing w:line="0" w:lineRule="atLeast"/>
      <w:outlineLvl w:val="3"/>
    </w:pPr>
    <w:rPr>
      <w:rFonts w:asciiTheme="minorHAnsi" w:hAnsiTheme="minorHAnsi"/>
      <w:b/>
      <w:bCs/>
      <w:color w:val="auto"/>
      <w:sz w:val="22"/>
      <w:szCs w:val="22"/>
    </w:rPr>
  </w:style>
  <w:style w:type="character" w:customStyle="1" w:styleId="Vnbnnidung8">
    <w:name w:val="Văn bản nội dung (8)"/>
    <w:basedOn w:val="DefaultParagraphFont"/>
    <w:rsid w:val="0014422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iu419pt">
    <w:name w:val="Tiêu đề #4 + 19 pt"/>
    <w:basedOn w:val="Tiu4"/>
    <w:rsid w:val="0014422F"/>
    <w:rPr>
      <w:rFonts w:ascii="Times New Roman" w:hAnsi="Times New Roman"/>
      <w:i w:val="0"/>
      <w:iCs w:val="0"/>
      <w:smallCaps w:val="0"/>
      <w:strike w:val="0"/>
      <w:color w:val="000000"/>
      <w:spacing w:val="0"/>
      <w:w w:val="100"/>
      <w:position w:val="0"/>
      <w:sz w:val="38"/>
      <w:szCs w:val="38"/>
      <w:u w:val="none"/>
      <w:lang w:val="vi-VN" w:eastAsia="vi-VN" w:bidi="vi-VN"/>
    </w:rPr>
  </w:style>
  <w:style w:type="character" w:customStyle="1" w:styleId="Vnbnnidung8Innghing">
    <w:name w:val="Văn bản nội dung (8) + In nghiêng"/>
    <w:basedOn w:val="DefaultParagraphFont"/>
    <w:rsid w:val="0014422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2018-05-10T07:43:00Z</dcterms:created>
  <dcterms:modified xsi:type="dcterms:W3CDTF">2018-05-10T07:43:00Z</dcterms:modified>
</cp:coreProperties>
</file>