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6346"/>
      </w:tblGrid>
      <w:tr w:rsidR="00F650F2" w:rsidRPr="00572365" w:rsidTr="004E3FBB">
        <w:trPr>
          <w:trHeight w:val="851"/>
        </w:trPr>
        <w:tc>
          <w:tcPr>
            <w:tcW w:w="3289" w:type="dxa"/>
            <w:tcBorders>
              <w:top w:val="nil"/>
              <w:left w:val="nil"/>
              <w:bottom w:val="nil"/>
              <w:right w:val="nil"/>
            </w:tcBorders>
          </w:tcPr>
          <w:p w:rsidR="00F650F2" w:rsidRPr="00572365" w:rsidRDefault="00F650F2" w:rsidP="004E3FBB">
            <w:pPr>
              <w:jc w:val="center"/>
              <w:rPr>
                <w:b/>
                <w:color w:val="auto"/>
                <w:sz w:val="26"/>
                <w:szCs w:val="28"/>
              </w:rPr>
            </w:pPr>
            <w:r w:rsidRPr="00572365">
              <w:rPr>
                <w:b/>
                <w:color w:val="auto"/>
                <w:sz w:val="26"/>
              </w:rPr>
              <w:t>HỘI ĐỒNG NHÂN DÂN</w:t>
            </w:r>
          </w:p>
          <w:p w:rsidR="00F650F2" w:rsidRPr="00572365" w:rsidRDefault="00F650F2" w:rsidP="004E3FBB">
            <w:pPr>
              <w:jc w:val="center"/>
              <w:rPr>
                <w:b/>
                <w:color w:val="auto"/>
                <w:sz w:val="26"/>
              </w:rPr>
            </w:pPr>
            <w:r w:rsidRPr="00572365">
              <w:rPr>
                <w:b/>
                <w:color w:val="auto"/>
                <w:sz w:val="26"/>
              </w:rPr>
              <w:t>HUYỆN SA THẦY</w:t>
            </w:r>
          </w:p>
          <w:p w:rsidR="00F650F2" w:rsidRPr="00572365" w:rsidRDefault="00F650F2" w:rsidP="004E3FBB">
            <w:pPr>
              <w:jc w:val="center"/>
              <w:rPr>
                <w:color w:val="auto"/>
                <w:sz w:val="12"/>
              </w:rPr>
            </w:pPr>
            <w:r w:rsidRPr="00942320">
              <w:rPr>
                <w:color w:val="auto"/>
                <w:szCs w:val="28"/>
              </w:rPr>
              <w:pict>
                <v:line id="_x0000_s1029" style="position:absolute;left:0;text-align:left;z-index:251663360;visibility:visible;mso-wrap-distance-top:-3e-5mm;mso-wrap-distance-bottom:-3e-5mm;mso-position-horizontal:center;mso-position-horizontal-relative:margin" from="0,2.65pt" to="4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Jg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UPQafBuALCK7WxoVJ6VFvzoul3h5SuOqJaHvm+nQyAZCEjeZcSNs7Abbvh&#10;i2YQQ/ZeR9GOje0DJMiBjrE3p1tv+NEjCofTp+k8n2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AxBfKc2AAAAAMBAAAPAAAAZHJzL2Rvd25yZXYueG1sTI/BTsMwEETv&#10;SPyDtUhcqtamFRRCnAoBuXFpAXHdxksSEa/T2G0DX8/CBY6jGc28yVej79SBhtgGtnAxM6CIq+Ba&#10;ri28PJfTa1AxITvsApOFT4qwKk5PcsxcOPKaDptUKynhmKGFJqU+0zpWDXmMs9ATi/ceBo9J5FBr&#10;N+BRyn2n58ZcaY8ty0KDPd03VH1s9t5CLF9pV35Nqol5W9SB5ruHp0e09vxsvLsFlWhMf2H4wRd0&#10;KIRpG/bsouosyJFk4XIBSswbswS1/ZW6yPV/9uIbAAD//wMAUEsBAi0AFAAGAAgAAAAhALaDOJL+&#10;AAAA4QEAABMAAAAAAAAAAAAAAAAAAAAAAFtDb250ZW50X1R5cGVzXS54bWxQSwECLQAUAAYACAAA&#10;ACEAOP0h/9YAAACUAQAACwAAAAAAAAAAAAAAAAAvAQAAX3JlbHMvLnJlbHNQSwECLQAUAAYACAAA&#10;ACEAAXcyYB0CAAA1BAAADgAAAAAAAAAAAAAAAAAuAgAAZHJzL2Uyb0RvYy54bWxQSwECLQAUAAYA&#10;CAAAACEAMQXynNgAAAADAQAADwAAAAAAAAAAAAAAAAB3BAAAZHJzL2Rvd25yZXYueG1sUEsFBgAA&#10;AAAEAAQA8wAAAHwFAAAAAA==&#10;">
                  <w10:wrap anchorx="margin"/>
                </v:line>
              </w:pict>
            </w:r>
          </w:p>
        </w:tc>
        <w:tc>
          <w:tcPr>
            <w:tcW w:w="6346" w:type="dxa"/>
            <w:tcBorders>
              <w:top w:val="nil"/>
              <w:left w:val="nil"/>
              <w:bottom w:val="nil"/>
              <w:right w:val="nil"/>
            </w:tcBorders>
          </w:tcPr>
          <w:p w:rsidR="00F650F2" w:rsidRPr="00572365" w:rsidRDefault="00F650F2" w:rsidP="004E3FBB">
            <w:pPr>
              <w:jc w:val="center"/>
              <w:rPr>
                <w:color w:val="auto"/>
                <w:sz w:val="26"/>
              </w:rPr>
            </w:pPr>
            <w:r w:rsidRPr="00572365">
              <w:rPr>
                <w:b/>
                <w:color w:val="auto"/>
                <w:sz w:val="26"/>
              </w:rPr>
              <w:t>CỘNG HOÀ XÃ HỘI CHỦ NGHĨA VIỆT NAM</w:t>
            </w:r>
          </w:p>
          <w:p w:rsidR="00F650F2" w:rsidRPr="00572365" w:rsidRDefault="00F650F2" w:rsidP="004E3FBB">
            <w:pPr>
              <w:tabs>
                <w:tab w:val="center" w:pos="1800"/>
              </w:tabs>
              <w:jc w:val="center"/>
              <w:rPr>
                <w:color w:val="auto"/>
                <w:sz w:val="12"/>
              </w:rPr>
            </w:pPr>
            <w:r w:rsidRPr="00572365">
              <w:rPr>
                <w:b/>
                <w:color w:val="auto"/>
              </w:rPr>
              <w:t>Độc lập - Tự do - Hạnh phúc</w:t>
            </w:r>
          </w:p>
          <w:p w:rsidR="00F650F2" w:rsidRPr="00572365" w:rsidRDefault="00F650F2" w:rsidP="004E3FBB">
            <w:pPr>
              <w:jc w:val="center"/>
              <w:rPr>
                <w:color w:val="auto"/>
                <w:sz w:val="26"/>
              </w:rPr>
            </w:pPr>
            <w:r w:rsidRPr="00942320">
              <w:rPr>
                <w:color w:val="auto"/>
                <w:szCs w:val="28"/>
              </w:rPr>
              <w:pict>
                <v:line id="_x0000_s1026" style="position:absolute;left:0;text-align:left;z-index:251660288;visibility:visible;mso-wrap-distance-top:-3e-5mm;mso-wrap-distance-bottom:-3e-5mm" from="68.45pt,1.9pt" to="23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Nu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ISRIh20&#10;aOctEU3rUamVAgG1RaOgU29cDuGl2tpQKT2pnXnR9LtDSpctUQ2PfN/OBkCykJG8SwkbZ+C2ff9F&#10;M4ghB6+jaKfadgES5ECn2JvzvTf85BGFw1E2y2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HI7XJXZAAAABwEAAA8AAABkcnMvZG93bnJldi54bWxMjsFOwzAQRO9I&#10;/IO1SFwq6mCqCkKcCgG5caGAuG7jJYmI12nstoGvZ+kFjk8zmnnFavK92tMYu8AWLucZKOI6uI4b&#10;C68v1cU1qJiQHfaBycIXRViVpycF5i4c+Jn269QoGeGYo4U2pSHXOtYteYzzMBBL9hFGj0lwbLQb&#10;8SDjvtcmy5baY8fy0OJA9y3Vn+udtxCrN9pW37N6lr1fNYHM9uHpEa09P5vubkElmtJfGX71RR1K&#10;cdqEHbuoemGTLaRqwdyAknyxNMKbI+uy0P/9yx8AAAD//wMAUEsBAi0AFAAGAAgAAAAhALaDOJL+&#10;AAAA4QEAABMAAAAAAAAAAAAAAAAAAAAAAFtDb250ZW50X1R5cGVzXS54bWxQSwECLQAUAAYACAAA&#10;ACEAOP0h/9YAAACUAQAACwAAAAAAAAAAAAAAAAAvAQAAX3JlbHMvLnJlbHNQSwECLQAUAAYACAAA&#10;ACEACjFDbhwCAAA2BAAADgAAAAAAAAAAAAAAAAAuAgAAZHJzL2Uyb0RvYy54bWxQSwECLQAUAAYA&#10;CAAAACEAcjtcldkAAAAHAQAADwAAAAAAAAAAAAAAAAB2BAAAZHJzL2Rvd25yZXYueG1sUEsFBgAA&#10;AAAEAAQA8wAAAHwFAAAAAA==&#10;"/>
              </w:pict>
            </w:r>
          </w:p>
        </w:tc>
      </w:tr>
      <w:tr w:rsidR="00F650F2" w:rsidRPr="00572365" w:rsidTr="004E3FBB">
        <w:trPr>
          <w:trHeight w:val="781"/>
        </w:trPr>
        <w:tc>
          <w:tcPr>
            <w:tcW w:w="3289" w:type="dxa"/>
            <w:tcBorders>
              <w:top w:val="nil"/>
              <w:left w:val="nil"/>
              <w:bottom w:val="nil"/>
              <w:right w:val="nil"/>
            </w:tcBorders>
          </w:tcPr>
          <w:p w:rsidR="00F650F2" w:rsidRPr="00572365" w:rsidRDefault="00F650F2" w:rsidP="004E3FBB">
            <w:pPr>
              <w:jc w:val="center"/>
              <w:rPr>
                <w:color w:val="auto"/>
                <w:szCs w:val="28"/>
              </w:rPr>
            </w:pPr>
            <w:r w:rsidRPr="00572365">
              <w:rPr>
                <w:color w:val="auto"/>
              </w:rPr>
              <w:t>Số: 94/BC-BKTXH</w:t>
            </w:r>
          </w:p>
          <w:p w:rsidR="00F650F2" w:rsidRPr="00572365" w:rsidRDefault="00F650F2" w:rsidP="004E3FBB">
            <w:pPr>
              <w:jc w:val="center"/>
              <w:rPr>
                <w:b/>
                <w:color w:val="auto"/>
                <w:sz w:val="26"/>
              </w:rPr>
            </w:pPr>
          </w:p>
        </w:tc>
        <w:tc>
          <w:tcPr>
            <w:tcW w:w="6346" w:type="dxa"/>
            <w:tcBorders>
              <w:top w:val="nil"/>
              <w:left w:val="nil"/>
              <w:bottom w:val="nil"/>
              <w:right w:val="nil"/>
            </w:tcBorders>
          </w:tcPr>
          <w:p w:rsidR="00F650F2" w:rsidRPr="00572365" w:rsidRDefault="00F650F2" w:rsidP="004E3FBB">
            <w:pPr>
              <w:jc w:val="center"/>
              <w:rPr>
                <w:b/>
                <w:color w:val="auto"/>
                <w:sz w:val="26"/>
              </w:rPr>
            </w:pPr>
            <w:r w:rsidRPr="00572365">
              <w:rPr>
                <w:i/>
                <w:color w:val="auto"/>
                <w:sz w:val="26"/>
              </w:rPr>
              <w:t>Sa Thầy, ngày 12 tháng 12 năm 2017</w:t>
            </w:r>
          </w:p>
        </w:tc>
      </w:tr>
    </w:tbl>
    <w:p w:rsidR="00F650F2" w:rsidRDefault="00F650F2" w:rsidP="00F650F2">
      <w:pPr>
        <w:jc w:val="center"/>
        <w:rPr>
          <w:b/>
          <w:color w:val="auto"/>
        </w:rPr>
      </w:pPr>
    </w:p>
    <w:p w:rsidR="00F650F2" w:rsidRPr="00572365" w:rsidRDefault="00F650F2" w:rsidP="00F650F2">
      <w:pPr>
        <w:jc w:val="center"/>
        <w:rPr>
          <w:b/>
          <w:color w:val="auto"/>
          <w:szCs w:val="28"/>
        </w:rPr>
      </w:pPr>
      <w:r w:rsidRPr="00572365">
        <w:rPr>
          <w:b/>
          <w:color w:val="auto"/>
          <w:lang w:val="vi-VN"/>
        </w:rPr>
        <w:t>BÁO CÁO</w:t>
      </w:r>
      <w:r w:rsidRPr="00572365">
        <w:rPr>
          <w:b/>
          <w:color w:val="auto"/>
        </w:rPr>
        <w:t xml:space="preserve"> THẨM TRA</w:t>
      </w:r>
    </w:p>
    <w:p w:rsidR="00F650F2" w:rsidRPr="00572365" w:rsidRDefault="00F650F2" w:rsidP="00F650F2">
      <w:pPr>
        <w:jc w:val="center"/>
        <w:rPr>
          <w:b/>
          <w:color w:val="auto"/>
          <w:lang w:val="de-DE"/>
        </w:rPr>
      </w:pPr>
      <w:r w:rsidRPr="00572365">
        <w:rPr>
          <w:b/>
          <w:color w:val="auto"/>
        </w:rPr>
        <w:t xml:space="preserve">Dự thảo nghị quyết </w:t>
      </w:r>
      <w:r w:rsidRPr="00572365">
        <w:rPr>
          <w:b/>
          <w:color w:val="auto"/>
          <w:lang w:val="de-DE"/>
        </w:rPr>
        <w:t xml:space="preserve">phê duyệt Kế hoạch đầu tư nguồn </w:t>
      </w:r>
    </w:p>
    <w:p w:rsidR="00F650F2" w:rsidRPr="00572365" w:rsidRDefault="00F650F2" w:rsidP="00F650F2">
      <w:pPr>
        <w:jc w:val="center"/>
        <w:rPr>
          <w:color w:val="auto"/>
          <w:lang w:val="de-DE"/>
        </w:rPr>
      </w:pPr>
      <w:r w:rsidRPr="00572365">
        <w:rPr>
          <w:b/>
          <w:color w:val="auto"/>
          <w:lang w:val="de-DE"/>
        </w:rPr>
        <w:t>ngân sách nhà nước năm 2018 huyện Sa Thầy</w:t>
      </w:r>
    </w:p>
    <w:p w:rsidR="00F650F2" w:rsidRDefault="00F650F2" w:rsidP="00F650F2">
      <w:pPr>
        <w:ind w:firstLine="720"/>
        <w:jc w:val="both"/>
        <w:rPr>
          <w:lang w:val="vi-VN"/>
        </w:rPr>
      </w:pPr>
      <w:r>
        <w:pict>
          <v:line id="_x0000_s1027" style="position:absolute;left:0;text-align:left;z-index:251661312;visibility:visible;mso-wrap-distance-top:-3e-5mm;mso-wrap-distance-bottom:-3e-5mm;mso-position-horizontal-relative:margin" from="199.75pt,1.9pt" to="27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OO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Lp6miwV0kN6OElLc7hnr/AeuexQmJZZCBddIQY4vzoNy&#10;gN4gYVvpjZAydl4qNAD3dDKNF5yWgoXDAHO23VfSoiMJ2Ym/YAOQPcCsPigWyTpO2Po690TIyxzw&#10;UgU+qATkXGeXcHxbpIv1fD3PR/lkth7laV2P3m+qfDTbZO+m9VNdVXX2PUjL8qITjHEV1N2CmuV/&#10;F4Trk7lE7B7Vuw3JI3ssEcTe/qPo2MrQvUsO9pqdtza4EboK2Yzg6zsK4f91HVE/X/vqBwAAAP//&#10;AwBQSwMEFAAGAAgAAAAhAAJM+mPaAAAABgEAAA8AAABkcnMvZG93bnJldi54bWxMj0FPwkAQhe8k&#10;/IfNkHghshWImNotMWpvXkSJ16E7to3d2dJdoPrrHeJBbjPvTd58L1sPrlVH6kPj2cDNLAFFXHrb&#10;cGXg/a24vgMVIrLF1jMZ+KYA63w8yjC1/sSvdNzESkkIhxQN1DF2qdahrMlhmPmOWLxP3zuMsvaV&#10;tj2eJNy1ep4kt9phw/Khxo4eayq/NgdnIBRb2hc/03KafCwqT/P908szGnM1GR7uQUUa4v8xnPEF&#10;HXJh2vkD26BaA1IkirpYgjq7y5UMuz9B55m+xM9/AQAA//8DAFBLAQItABQABgAIAAAAIQC2gziS&#10;/gAAAOEBAAATAAAAAAAAAAAAAAAAAAAAAABbQ29udGVudF9UeXBlc10ueG1sUEsBAi0AFAAGAAgA&#10;AAAhADj9If/WAAAAlAEAAAsAAAAAAAAAAAAAAAAALwEAAF9yZWxzLy5yZWxzUEsBAi0AFAAGAAgA&#10;AAAhAPpjA44cAgAANQQAAA4AAAAAAAAAAAAAAAAALgIAAGRycy9lMm9Eb2MueG1sUEsBAi0AFAAG&#10;AAgAAAAhAAJM+mPaAAAABgEAAA8AAAAAAAAAAAAAAAAAdgQAAGRycy9kb3ducmV2LnhtbFBLBQYA&#10;AAAABAAEAPMAAAB9BQAAAAA=&#10;">
            <w10:wrap anchorx="margin"/>
          </v:line>
        </w:pict>
      </w:r>
    </w:p>
    <w:p w:rsidR="00F650F2" w:rsidRDefault="00F650F2" w:rsidP="00F650F2">
      <w:pPr>
        <w:spacing w:before="120" w:after="120"/>
        <w:ind w:firstLine="709"/>
        <w:jc w:val="both"/>
        <w:rPr>
          <w:color w:val="auto"/>
        </w:rPr>
      </w:pPr>
    </w:p>
    <w:p w:rsidR="00F650F2" w:rsidRPr="00572365" w:rsidRDefault="00F650F2" w:rsidP="00F650F2">
      <w:pPr>
        <w:spacing w:before="120" w:after="120"/>
        <w:ind w:firstLine="709"/>
        <w:jc w:val="both"/>
        <w:rPr>
          <w:color w:val="auto"/>
          <w:lang w:val="vi-VN"/>
        </w:rPr>
      </w:pPr>
      <w:r w:rsidRPr="00572365">
        <w:rPr>
          <w:color w:val="auto"/>
          <w:lang w:val="vi-VN"/>
        </w:rPr>
        <w:t>Căn cứ Luật Tổ chức chính quyền địa phương năm 2015; Luật Hoạt động giám sát của Quốc hội và Hội đồng nhân dân năm 2015, Luật Ban hành văn bản quy phạm pháp luật năm 2015.</w:t>
      </w:r>
    </w:p>
    <w:p w:rsidR="00F650F2" w:rsidRPr="00572365" w:rsidRDefault="00F650F2" w:rsidP="00F650F2">
      <w:pPr>
        <w:spacing w:before="120" w:after="120"/>
        <w:ind w:firstLine="709"/>
        <w:jc w:val="both"/>
        <w:rPr>
          <w:color w:val="auto"/>
          <w:lang w:val="nl-NL"/>
        </w:rPr>
      </w:pPr>
      <w:r w:rsidRPr="00572365">
        <w:rPr>
          <w:color w:val="auto"/>
          <w:lang w:val="nl-NL"/>
        </w:rPr>
        <w:t>Thực hiện chỉ đạo của Thường trực Hội đồng nhân dân huyện về phân công thẩm tra các nội dung kỳ họp thứ 5, HĐND huyện khóa X, nhiệm kỳ 2016 - 2021;</w:t>
      </w:r>
    </w:p>
    <w:p w:rsidR="00F650F2" w:rsidRPr="00572365" w:rsidRDefault="00F650F2" w:rsidP="00F650F2">
      <w:pPr>
        <w:spacing w:before="120" w:after="120"/>
        <w:ind w:firstLine="709"/>
        <w:jc w:val="both"/>
        <w:rPr>
          <w:color w:val="auto"/>
          <w:lang w:val="nl-NL"/>
        </w:rPr>
      </w:pPr>
      <w:r w:rsidRPr="00572365">
        <w:rPr>
          <w:color w:val="auto"/>
          <w:lang w:val="nl-NL"/>
        </w:rPr>
        <w:t>Trên cơ sở Tờ trình số 291/TTr-UBND ngày 14/12/2017 của UBND huyện về việc đề nghị thông qua Kế hoạch đầu tư công năm 2018 huyện Sa Thầy và Dự thảo Nghị quyết về kế hoạch đầu tư nguồn ngân sách nhà nước năm 2018 huyện Sa Thầy.</w:t>
      </w:r>
    </w:p>
    <w:p w:rsidR="00F650F2" w:rsidRDefault="00F650F2" w:rsidP="00F650F2">
      <w:pPr>
        <w:spacing w:before="120" w:after="120"/>
        <w:ind w:firstLine="709"/>
        <w:jc w:val="both"/>
        <w:rPr>
          <w:color w:val="auto"/>
          <w:spacing w:val="-4"/>
          <w:lang w:val="nl-NL"/>
        </w:rPr>
      </w:pPr>
      <w:r w:rsidRPr="00572365">
        <w:rPr>
          <w:color w:val="auto"/>
          <w:lang w:val="nl-NL"/>
        </w:rPr>
        <w:t>Ban Kinh tế - Xã hội đã họp thẩm tra dự thảo Nghị quyết về kế hoạch đầu tư nguồn ngân sách nhà nước năm 2018 huyện Sa Thầy</w:t>
      </w:r>
      <w:r w:rsidRPr="00572365">
        <w:rPr>
          <w:color w:val="auto"/>
          <w:spacing w:val="-4"/>
          <w:lang w:val="nl-NL"/>
        </w:rPr>
        <w:t xml:space="preserve">. Qua ý kiến tham gia của thành viên Ban và các cơ quan liên quan, </w:t>
      </w:r>
      <w:r w:rsidRPr="00572365">
        <w:rPr>
          <w:color w:val="auto"/>
          <w:lang w:val="nl-NL"/>
        </w:rPr>
        <w:t xml:space="preserve">Ban ý kiến như sau: </w:t>
      </w:r>
    </w:p>
    <w:p w:rsidR="00F650F2" w:rsidRPr="00572365" w:rsidRDefault="00F650F2" w:rsidP="00F650F2">
      <w:pPr>
        <w:spacing w:before="120" w:after="120"/>
        <w:ind w:firstLine="709"/>
        <w:jc w:val="both"/>
        <w:rPr>
          <w:color w:val="auto"/>
          <w:spacing w:val="-4"/>
          <w:lang w:val="nl-NL"/>
        </w:rPr>
      </w:pPr>
      <w:r w:rsidRPr="00572365">
        <w:rPr>
          <w:b/>
          <w:color w:val="auto"/>
          <w:spacing w:val="-4"/>
          <w:lang w:val="nl-NL"/>
        </w:rPr>
        <w:t>1.</w:t>
      </w:r>
      <w:r>
        <w:rPr>
          <w:color w:val="auto"/>
          <w:spacing w:val="-4"/>
          <w:lang w:val="nl-NL"/>
        </w:rPr>
        <w:t xml:space="preserve"> </w:t>
      </w:r>
      <w:r w:rsidRPr="00572365">
        <w:rPr>
          <w:b/>
          <w:noProof/>
          <w:color w:val="auto"/>
          <w:lang w:val="vi-VN"/>
        </w:rPr>
        <w:t>Đánh giá tình hình thực hiện Kế hoạch đầu tư công năm 2017</w:t>
      </w:r>
    </w:p>
    <w:p w:rsidR="00F650F2" w:rsidRPr="00572365" w:rsidRDefault="00F650F2" w:rsidP="00F650F2">
      <w:pPr>
        <w:pStyle w:val="041"/>
        <w:widowControl w:val="0"/>
        <w:spacing w:line="240" w:lineRule="auto"/>
        <w:ind w:firstLine="709"/>
        <w:rPr>
          <w:szCs w:val="28"/>
          <w:lang w:val="nl-NL"/>
        </w:rPr>
      </w:pPr>
      <w:r w:rsidRPr="00572365">
        <w:rPr>
          <w:noProof/>
          <w:szCs w:val="28"/>
          <w:lang w:val="vi-VN"/>
        </w:rPr>
        <w:t xml:space="preserve">Ban Kinh tế - </w:t>
      </w:r>
      <w:r w:rsidRPr="00572365">
        <w:rPr>
          <w:noProof/>
          <w:szCs w:val="28"/>
        </w:rPr>
        <w:t>Xã hội</w:t>
      </w:r>
      <w:r w:rsidRPr="00572365">
        <w:rPr>
          <w:noProof/>
          <w:szCs w:val="28"/>
          <w:lang w:val="vi-VN"/>
        </w:rPr>
        <w:t xml:space="preserve"> cơ bản nhất trí với báo cáo đánh giá kết quả thực hiện kế hoạch đầu tư công năm 2017 vốn ngân sách địa phương của</w:t>
      </w:r>
      <w:r w:rsidRPr="00572365">
        <w:rPr>
          <w:noProof/>
          <w:szCs w:val="28"/>
        </w:rPr>
        <w:t xml:space="preserve"> UBND huyện</w:t>
      </w:r>
      <w:r w:rsidRPr="00572365">
        <w:rPr>
          <w:noProof/>
          <w:szCs w:val="28"/>
          <w:lang w:val="vi-VN"/>
        </w:rPr>
        <w:t xml:space="preserve">, cụ thể: Tổng kế hoạch vốn đầu tư công trong năm 2017 của </w:t>
      </w:r>
      <w:r w:rsidRPr="00572365">
        <w:rPr>
          <w:noProof/>
          <w:szCs w:val="28"/>
        </w:rPr>
        <w:t xml:space="preserve">huyện Sa Thầy </w:t>
      </w:r>
      <w:r w:rsidRPr="00572365">
        <w:rPr>
          <w:noProof/>
          <w:szCs w:val="28"/>
          <w:lang w:val="vi-VN"/>
        </w:rPr>
        <w:t xml:space="preserve">là </w:t>
      </w:r>
      <w:r w:rsidRPr="00572365">
        <w:rPr>
          <w:noProof/>
          <w:szCs w:val="28"/>
        </w:rPr>
        <w:t>30.063 triệu đồng. Trong năm UBND tỉnh bổ sung nguồn vốn thực hiện Chương trình MTQG giảm nghèo bền vững và chương trình xây dựng nông thôn mới là 44.011 triệu đồng</w:t>
      </w:r>
      <w:r w:rsidRPr="00572365">
        <w:rPr>
          <w:szCs w:val="28"/>
          <w:lang w:val="nl-NL"/>
        </w:rPr>
        <w:t>. Kết quả thực hiện đến nay như sau:</w:t>
      </w:r>
    </w:p>
    <w:p w:rsidR="00F650F2" w:rsidRPr="00572365" w:rsidRDefault="00F650F2" w:rsidP="00F650F2">
      <w:pPr>
        <w:widowControl w:val="0"/>
        <w:spacing w:before="120" w:after="120"/>
        <w:ind w:firstLine="709"/>
        <w:jc w:val="both"/>
        <w:rPr>
          <w:i/>
          <w:color w:val="auto"/>
          <w:szCs w:val="28"/>
          <w:lang w:val="nl-NL"/>
        </w:rPr>
      </w:pPr>
      <w:r w:rsidRPr="00572365">
        <w:rPr>
          <w:color w:val="auto"/>
          <w:lang w:val="nl-NL"/>
        </w:rPr>
        <w:t>- Đối với vốn ngân sách huyện được HĐND huyện bố trí năm 2017: Tính đến ngày 20/11/2017 tổng số vốn đã giải ngân là 22.029 triệu đồng, đạt 73,28% kế hoạch</w:t>
      </w:r>
      <w:r w:rsidRPr="00572365">
        <w:rPr>
          <w:color w:val="auto"/>
          <w:vertAlign w:val="superscript"/>
          <w:lang w:val="nl-NL"/>
        </w:rPr>
        <w:t>(</w:t>
      </w:r>
      <w:r w:rsidRPr="00572365">
        <w:rPr>
          <w:rStyle w:val="FootnoteReference"/>
          <w:color w:val="auto"/>
          <w:lang w:val="nl-NL"/>
        </w:rPr>
        <w:footnoteReference w:id="2"/>
      </w:r>
      <w:r w:rsidRPr="00572365">
        <w:rPr>
          <w:color w:val="auto"/>
          <w:vertAlign w:val="superscript"/>
          <w:lang w:val="nl-NL"/>
        </w:rPr>
        <w:t>)</w:t>
      </w:r>
      <w:r w:rsidRPr="00572365">
        <w:rPr>
          <w:color w:val="auto"/>
          <w:lang w:val="nl-NL"/>
        </w:rPr>
        <w:t xml:space="preserve">. </w:t>
      </w:r>
    </w:p>
    <w:p w:rsidR="00F650F2" w:rsidRPr="00572365" w:rsidRDefault="00F650F2" w:rsidP="00F650F2">
      <w:pPr>
        <w:pStyle w:val="041"/>
        <w:widowControl w:val="0"/>
        <w:spacing w:line="240" w:lineRule="auto"/>
        <w:ind w:firstLine="709"/>
        <w:rPr>
          <w:noProof/>
          <w:szCs w:val="28"/>
        </w:rPr>
      </w:pPr>
      <w:r w:rsidRPr="00572365">
        <w:rPr>
          <w:noProof/>
          <w:szCs w:val="28"/>
        </w:rPr>
        <w:t xml:space="preserve">- Đối với nguồn bổ sung của tỉnh: </w:t>
      </w:r>
      <w:r w:rsidRPr="00572365">
        <w:rPr>
          <w:szCs w:val="28"/>
          <w:lang w:val="nl-NL"/>
        </w:rPr>
        <w:t>Đến ngày 20/11/2017 tổng số vốn đã giải ngân là 24.549 triệu đồng, đạt 56% kế hoạch.</w:t>
      </w:r>
    </w:p>
    <w:p w:rsidR="00F650F2" w:rsidRDefault="00F650F2" w:rsidP="00F650F2">
      <w:pPr>
        <w:pStyle w:val="041"/>
        <w:widowControl w:val="0"/>
        <w:spacing w:line="240" w:lineRule="auto"/>
        <w:ind w:firstLine="709"/>
        <w:rPr>
          <w:noProof/>
          <w:szCs w:val="28"/>
        </w:rPr>
      </w:pPr>
      <w:r w:rsidRPr="00572365">
        <w:rPr>
          <w:noProof/>
          <w:szCs w:val="28"/>
          <w:lang w:val="vi-VN"/>
        </w:rPr>
        <w:t xml:space="preserve">Ban Kinh tế - </w:t>
      </w:r>
      <w:r w:rsidRPr="00572365">
        <w:rPr>
          <w:noProof/>
          <w:szCs w:val="28"/>
        </w:rPr>
        <w:t>Xã hội</w:t>
      </w:r>
      <w:r w:rsidRPr="00572365">
        <w:rPr>
          <w:noProof/>
          <w:szCs w:val="28"/>
          <w:lang w:val="vi-VN"/>
        </w:rPr>
        <w:t xml:space="preserve"> nhận thấy, tỷ lệ giải ngân các nguồn vốn đầu tư phát triển năm 2017 còn thấp, ngoài quy định của Trung ương cho phép kéo dài thời gian giải ngân thì nguyên nhân giải ngân thấp là do: Một số chương trình, dự án </w:t>
      </w:r>
      <w:r w:rsidRPr="00572365">
        <w:rPr>
          <w:noProof/>
          <w:szCs w:val="28"/>
          <w:lang w:val="vi-VN"/>
        </w:rPr>
        <w:lastRenderedPageBreak/>
        <w:t>tỉnh mới bổ sung vốn trong năm, tỉnh chậm hướng dẫn về cơ chế, chính sách</w:t>
      </w:r>
      <w:r w:rsidRPr="00572365">
        <w:rPr>
          <w:noProof/>
          <w:szCs w:val="28"/>
        </w:rPr>
        <w:t>, chậm điều chỉnh kế hoạch vốn chương trình MTQG giảm nghèo nên công tác triển khai phân bổ của huyện chậm trễ</w:t>
      </w:r>
      <w:r w:rsidRPr="00572365">
        <w:rPr>
          <w:noProof/>
          <w:szCs w:val="28"/>
          <w:lang w:val="vi-VN"/>
        </w:rPr>
        <w:t>... Ban Kinh tế -</w:t>
      </w:r>
      <w:r w:rsidRPr="00572365">
        <w:rPr>
          <w:noProof/>
          <w:szCs w:val="28"/>
        </w:rPr>
        <w:t xml:space="preserve"> Xã hội thống nhất với đánh giá nguyên nhân của UBND huyện, đồng thời </w:t>
      </w:r>
      <w:r w:rsidRPr="00572365">
        <w:rPr>
          <w:noProof/>
          <w:szCs w:val="28"/>
          <w:lang w:val="vi-VN"/>
        </w:rPr>
        <w:t xml:space="preserve">đề nghị </w:t>
      </w:r>
      <w:r w:rsidRPr="00572365">
        <w:rPr>
          <w:noProof/>
          <w:szCs w:val="28"/>
        </w:rPr>
        <w:t xml:space="preserve">UBND huyện </w:t>
      </w:r>
      <w:r w:rsidRPr="00572365">
        <w:rPr>
          <w:noProof/>
          <w:szCs w:val="28"/>
          <w:lang w:val="vi-VN"/>
        </w:rPr>
        <w:t>tiếp tục chỉ đạo, có biện pháp khắc phục nhằm đẩy nhanh tiến độ giải ngân.</w:t>
      </w:r>
    </w:p>
    <w:p w:rsidR="00F650F2" w:rsidRPr="00572365" w:rsidRDefault="00F650F2" w:rsidP="00F650F2">
      <w:pPr>
        <w:pStyle w:val="041"/>
        <w:widowControl w:val="0"/>
        <w:spacing w:line="240" w:lineRule="auto"/>
        <w:ind w:firstLine="709"/>
        <w:rPr>
          <w:noProof/>
          <w:szCs w:val="28"/>
          <w:lang w:val="vi-VN"/>
        </w:rPr>
      </w:pPr>
      <w:r w:rsidRPr="00572365">
        <w:rPr>
          <w:b/>
          <w:noProof/>
          <w:szCs w:val="28"/>
        </w:rPr>
        <w:t>2.</w:t>
      </w:r>
      <w:r>
        <w:rPr>
          <w:noProof/>
          <w:szCs w:val="28"/>
        </w:rPr>
        <w:t xml:space="preserve"> </w:t>
      </w:r>
      <w:r w:rsidRPr="00572365">
        <w:rPr>
          <w:b/>
          <w:noProof/>
          <w:lang w:val="vi-VN"/>
        </w:rPr>
        <w:t xml:space="preserve">Về Kế hoạch đầu tư ngân sách nhà nước năm 2018 </w:t>
      </w:r>
      <w:r w:rsidRPr="00572365">
        <w:rPr>
          <w:b/>
          <w:noProof/>
        </w:rPr>
        <w:t>huyện Sa Thầy</w:t>
      </w:r>
    </w:p>
    <w:p w:rsidR="00F650F2" w:rsidRPr="00572365" w:rsidRDefault="00F650F2" w:rsidP="00F650F2">
      <w:pPr>
        <w:tabs>
          <w:tab w:val="left" w:pos="709"/>
        </w:tabs>
        <w:spacing w:before="120" w:after="120"/>
        <w:ind w:firstLine="709"/>
        <w:jc w:val="both"/>
        <w:rPr>
          <w:color w:val="auto"/>
          <w:lang w:val="nl-NL"/>
        </w:rPr>
      </w:pPr>
      <w:r w:rsidRPr="00572365">
        <w:rPr>
          <w:b/>
          <w:noProof/>
          <w:color w:val="auto"/>
        </w:rPr>
        <w:tab/>
      </w:r>
      <w:r w:rsidRPr="00572365">
        <w:rPr>
          <w:color w:val="auto"/>
          <w:lang w:val="nl-NL"/>
        </w:rPr>
        <w:t>Căn cứ các văn bảnthông báo của Sở Kế hoạch - Đầu tư</w:t>
      </w:r>
      <w:r w:rsidRPr="00572365">
        <w:rPr>
          <w:color w:val="auto"/>
          <w:vertAlign w:val="superscript"/>
          <w:lang w:val="nl-NL"/>
        </w:rPr>
        <w:t>(</w:t>
      </w:r>
      <w:r w:rsidRPr="00572365">
        <w:rPr>
          <w:rStyle w:val="FootnoteReference"/>
          <w:color w:val="auto"/>
          <w:lang w:val="nl-NL"/>
        </w:rPr>
        <w:footnoteReference w:id="3"/>
      </w:r>
      <w:r w:rsidRPr="00572365">
        <w:rPr>
          <w:color w:val="auto"/>
          <w:vertAlign w:val="superscript"/>
          <w:lang w:val="nl-NL"/>
        </w:rPr>
        <w:t>)</w:t>
      </w:r>
      <w:r w:rsidRPr="00572365">
        <w:rPr>
          <w:color w:val="auto"/>
          <w:lang w:val="nl-NL"/>
        </w:rPr>
        <w:t xml:space="preserve">, tổng kế hoạch vốn đầu tư nguồn NSNN và vốn sự nghiệp thực hiện các chương trình mục tiêu quốc gia năm 2018 được tỉnh giao cho huyện Sa Thầy là </w:t>
      </w:r>
      <w:r w:rsidRPr="00BF54BF">
        <w:rPr>
          <w:color w:val="auto"/>
          <w:lang w:val="nl-NL"/>
        </w:rPr>
        <w:t>59.738 triệu đồng</w:t>
      </w:r>
      <w:r w:rsidRPr="00572365">
        <w:rPr>
          <w:color w:val="auto"/>
          <w:lang w:val="nl-NL"/>
        </w:rPr>
        <w:t xml:space="preserve">, trong đó vốn thực hiện chương trình MTQG năm 2018 là </w:t>
      </w:r>
      <w:r w:rsidRPr="00BF54BF">
        <w:rPr>
          <w:color w:val="auto"/>
          <w:lang w:val="nl-NL"/>
        </w:rPr>
        <w:t>40.972 triệu đồng</w:t>
      </w:r>
      <w:r>
        <w:rPr>
          <w:b/>
          <w:color w:val="auto"/>
          <w:lang w:val="nl-NL"/>
        </w:rPr>
        <w:t xml:space="preserve"> </w:t>
      </w:r>
      <w:r w:rsidRPr="00572365">
        <w:rPr>
          <w:color w:val="auto"/>
          <w:lang w:val="nl-NL"/>
        </w:rPr>
        <w:t>(</w:t>
      </w:r>
      <w:r w:rsidRPr="00572365">
        <w:rPr>
          <w:i/>
          <w:color w:val="auto"/>
          <w:lang w:val="nl-NL"/>
        </w:rPr>
        <w:t xml:space="preserve">vốn đầu tư phát triển là </w:t>
      </w:r>
      <w:r w:rsidRPr="00BF54BF">
        <w:rPr>
          <w:i/>
          <w:color w:val="auto"/>
          <w:lang w:val="nl-NL"/>
        </w:rPr>
        <w:t>18.766</w:t>
      </w:r>
      <w:r w:rsidRPr="00572365">
        <w:rPr>
          <w:b/>
          <w:i/>
          <w:color w:val="auto"/>
          <w:lang w:val="nl-NL"/>
        </w:rPr>
        <w:t xml:space="preserve"> </w:t>
      </w:r>
      <w:r w:rsidRPr="00572365">
        <w:rPr>
          <w:i/>
          <w:color w:val="auto"/>
          <w:lang w:val="nl-NL"/>
        </w:rPr>
        <w:t xml:space="preserve">triệu đồng và vốn sự nghiệp là </w:t>
      </w:r>
      <w:r w:rsidRPr="00BF54BF">
        <w:rPr>
          <w:i/>
          <w:color w:val="auto"/>
          <w:lang w:val="nl-NL"/>
        </w:rPr>
        <w:t>12.857</w:t>
      </w:r>
      <w:r>
        <w:rPr>
          <w:i/>
          <w:color w:val="auto"/>
          <w:lang w:val="nl-NL"/>
        </w:rPr>
        <w:t xml:space="preserve"> </w:t>
      </w:r>
      <w:r w:rsidRPr="00572365">
        <w:rPr>
          <w:i/>
          <w:color w:val="auto"/>
          <w:lang w:val="nl-NL"/>
        </w:rPr>
        <w:t>triệu đồng</w:t>
      </w:r>
      <w:r w:rsidRPr="00572365">
        <w:rPr>
          <w:color w:val="auto"/>
          <w:lang w:val="nl-NL"/>
        </w:rPr>
        <w:t xml:space="preserve">). Căn cứ tình hình thực tế và dự toán nguồn thu NSĐP năm 2018, UBND huyện dự kiến giao </w:t>
      </w:r>
      <w:r w:rsidRPr="00BF54BF">
        <w:rPr>
          <w:color w:val="auto"/>
          <w:lang w:val="nl-NL"/>
        </w:rPr>
        <w:t>69.703</w:t>
      </w:r>
      <w:r>
        <w:rPr>
          <w:b/>
          <w:color w:val="auto"/>
          <w:lang w:val="nl-NL"/>
        </w:rPr>
        <w:t xml:space="preserve"> </w:t>
      </w:r>
      <w:r w:rsidRPr="00572365">
        <w:rPr>
          <w:color w:val="auto"/>
          <w:lang w:val="nl-NL"/>
        </w:rPr>
        <w:t xml:space="preserve">triệu đồng, tăng 9.965 triệu đồng, trong đó vốn đầu tư phát triển là </w:t>
      </w:r>
      <w:r w:rsidRPr="00BF54BF">
        <w:rPr>
          <w:color w:val="auto"/>
          <w:lang w:val="nl-NL"/>
        </w:rPr>
        <w:t>56.846</w:t>
      </w:r>
      <w:r>
        <w:rPr>
          <w:b/>
          <w:color w:val="auto"/>
          <w:lang w:val="nl-NL"/>
        </w:rPr>
        <w:t xml:space="preserve"> </w:t>
      </w:r>
      <w:r w:rsidRPr="00572365">
        <w:rPr>
          <w:color w:val="auto"/>
          <w:lang w:val="nl-NL"/>
        </w:rPr>
        <w:t xml:space="preserve">triệu đồng và vốn sự nghiệp là </w:t>
      </w:r>
      <w:r w:rsidRPr="00BF54BF">
        <w:rPr>
          <w:color w:val="auto"/>
          <w:lang w:val="nl-NL"/>
        </w:rPr>
        <w:t>12.857</w:t>
      </w:r>
      <w:r>
        <w:rPr>
          <w:b/>
          <w:color w:val="auto"/>
          <w:lang w:val="nl-NL"/>
        </w:rPr>
        <w:t xml:space="preserve"> </w:t>
      </w:r>
      <w:r w:rsidRPr="00572365">
        <w:rPr>
          <w:color w:val="auto"/>
          <w:lang w:val="nl-NL"/>
        </w:rPr>
        <w:t xml:space="preserve">triệu đồng. </w:t>
      </w:r>
    </w:p>
    <w:p w:rsidR="00F650F2" w:rsidRPr="00572365" w:rsidRDefault="00F650F2" w:rsidP="00F650F2">
      <w:pPr>
        <w:tabs>
          <w:tab w:val="left" w:pos="709"/>
        </w:tabs>
        <w:spacing w:before="120" w:after="120"/>
        <w:ind w:firstLine="709"/>
        <w:jc w:val="both"/>
        <w:rPr>
          <w:b/>
          <w:color w:val="auto"/>
          <w:lang w:val="nl-NL"/>
        </w:rPr>
      </w:pPr>
      <w:r w:rsidRPr="00572365">
        <w:rPr>
          <w:color w:val="auto"/>
          <w:lang w:val="nl-NL"/>
        </w:rPr>
        <w:tab/>
      </w:r>
      <w:r w:rsidRPr="00572365">
        <w:rPr>
          <w:b/>
          <w:color w:val="auto"/>
          <w:lang w:val="nl-NL"/>
        </w:rPr>
        <w:t>2. Ý kiến của Ban Kinh tế - Xã hội</w:t>
      </w:r>
    </w:p>
    <w:p w:rsidR="00F650F2" w:rsidRPr="00572365" w:rsidRDefault="00F650F2" w:rsidP="00F650F2">
      <w:pPr>
        <w:spacing w:before="120" w:after="120"/>
        <w:ind w:firstLine="709"/>
        <w:jc w:val="both"/>
        <w:rPr>
          <w:color w:val="auto"/>
          <w:lang w:val="nl-NL"/>
        </w:rPr>
      </w:pPr>
      <w:r w:rsidRPr="00572365">
        <w:rPr>
          <w:color w:val="auto"/>
          <w:lang w:val="es-NI"/>
        </w:rPr>
        <w:t xml:space="preserve">Ban </w:t>
      </w:r>
      <w:r w:rsidRPr="00572365">
        <w:rPr>
          <w:color w:val="auto"/>
          <w:lang w:val="nl-NL"/>
        </w:rPr>
        <w:t xml:space="preserve">Kinh tế - Xã hội </w:t>
      </w:r>
      <w:r w:rsidRPr="00572365">
        <w:rPr>
          <w:color w:val="auto"/>
          <w:lang w:val="es-NI"/>
        </w:rPr>
        <w:t xml:space="preserve">nhận thấy,việc phân bổ kế hoạch vốn đầu tư công và vốn các Chương trình mục tiêu quốc gia năm 2018 đã bám sát các quy định của Luật Ngân sách nhà nước năm 2015; Luật Đầu tư công năm 2014 và các văn bản hướng dẫn của các Bộ, ngành Trung ương và của tỉnh. Và việc bố trí vốn các dự án </w:t>
      </w:r>
      <w:r w:rsidRPr="00572365">
        <w:rPr>
          <w:iCs/>
          <w:color w:val="auto"/>
          <w:lang w:val="af-ZA"/>
        </w:rPr>
        <w:t>đảm bảo nguyên tắc, tiêu chí và thứ tự ưu tiên trong công tác phân bổ vốn đầu tư theo quy định</w:t>
      </w:r>
      <w:r w:rsidRPr="00572365">
        <w:rPr>
          <w:color w:val="auto"/>
          <w:lang w:val="es-NI"/>
        </w:rPr>
        <w:t>Nghị quyết số 24/2015/NQ-HĐND ngày 10/12/2015 của HĐND tỉnh về việc ban hành nguyên tắc, tiêu chí và định mức phân bổ vốn đầu tư phát triển nguồn ngân sách Nhà nước giai đoạn 2016 - 2020 tỉnh Kon Tum; Nghị quyết số 10/2017/NQ-HĐND ngày 21/7/2017 của HĐND</w:t>
      </w:r>
      <w:r>
        <w:rPr>
          <w:color w:val="auto"/>
          <w:lang w:val="es-NI"/>
        </w:rPr>
        <w:t xml:space="preserve"> </w:t>
      </w:r>
      <w:r w:rsidRPr="00572365">
        <w:rPr>
          <w:color w:val="auto"/>
          <w:lang w:val="nl-NL"/>
        </w:rPr>
        <w:t>tỉnh về quy định mức hỗ trợ từ ngân sách nhà nước để thực hiện Chương trình mục tiêu quốc gia xây dựng nông thôn mới giai đoạn 2016 - 2020 trên địa bàn tỉnh Kon Tum; Nghị quyết</w:t>
      </w:r>
      <w:r w:rsidRPr="00572365">
        <w:rPr>
          <w:color w:val="auto"/>
          <w:lang w:val="es-NI"/>
        </w:rPr>
        <w:t xml:space="preserve"> số 12/2017/NQ-HĐND ngày 21/7/2017 của HĐND tỉnh về </w:t>
      </w:r>
      <w:bookmarkStart w:id="0" w:name="loai_1_name"/>
      <w:r w:rsidRPr="00572365">
        <w:rPr>
          <w:color w:val="auto"/>
          <w:lang w:val="nl-NL"/>
        </w:rPr>
        <w:t>Ban hành Quy định nguyên tắc, tiêu chí, định mức phân bổ vốn ngân sách nhà nước thực hiện Chương trình mục tiêu quốc gia giảm nghèo bền vững giai đoạn 2016 - 2020</w:t>
      </w:r>
      <w:bookmarkEnd w:id="0"/>
      <w:r w:rsidRPr="00572365">
        <w:rPr>
          <w:color w:val="auto"/>
          <w:lang w:val="nl-NL"/>
        </w:rPr>
        <w:t xml:space="preserve"> trên địa bàn tỉnh Kon Tum.</w:t>
      </w:r>
    </w:p>
    <w:p w:rsidR="00F650F2" w:rsidRPr="00572365" w:rsidRDefault="00F650F2" w:rsidP="00F650F2">
      <w:pPr>
        <w:tabs>
          <w:tab w:val="left" w:pos="709"/>
        </w:tabs>
        <w:spacing w:before="120" w:after="120"/>
        <w:ind w:firstLine="709"/>
        <w:jc w:val="both"/>
        <w:rPr>
          <w:color w:val="auto"/>
          <w:lang w:val="nl-NL"/>
        </w:rPr>
      </w:pPr>
      <w:r w:rsidRPr="00572365">
        <w:rPr>
          <w:color w:val="auto"/>
          <w:lang w:val="nl-NL"/>
        </w:rPr>
        <w:tab/>
        <w:t>Ban Kinh tế - Xã hội cơ bản thống nhất:</w:t>
      </w:r>
    </w:p>
    <w:p w:rsidR="00F650F2" w:rsidRPr="00EE3050" w:rsidRDefault="00F650F2" w:rsidP="00F650F2">
      <w:pPr>
        <w:tabs>
          <w:tab w:val="left" w:pos="709"/>
        </w:tabs>
        <w:spacing w:before="120" w:after="120"/>
        <w:ind w:firstLine="709"/>
        <w:jc w:val="both"/>
        <w:rPr>
          <w:i/>
          <w:color w:val="auto"/>
          <w:lang w:val="nl-NL"/>
        </w:rPr>
      </w:pPr>
      <w:r w:rsidRPr="00572365">
        <w:rPr>
          <w:color w:val="auto"/>
          <w:lang w:val="nl-NL"/>
        </w:rPr>
        <w:tab/>
        <w:t xml:space="preserve">- Thống nhất danh mục dự án bố trí kế hoạch đầu tư công cân đối ngân sách địa phương năm 2018 theo đề xuất của UBND huyện, trong đó có 04 công trình khởi công mới gồm: Trung tâm văn hóa thể thao huyện Sa Thầy, xây dựng trường Mầm non Hoa Hồng thị trấn Sa Thầy, vườn hoa cây xanh trước nghĩa trang liệt sĩ huyện, mở rộng đường Trần Hưng Đạo đoạn từ đường Trường Chinh đến đường bê tông Ngõ 406 </w:t>
      </w:r>
      <w:r w:rsidRPr="00EE3050">
        <w:rPr>
          <w:i/>
          <w:color w:val="auto"/>
          <w:lang w:val="nl-NL"/>
        </w:rPr>
        <w:t>(trường THCS Nguyễn Tất Thành).</w:t>
      </w:r>
    </w:p>
    <w:p w:rsidR="00F650F2" w:rsidRPr="00572365" w:rsidRDefault="00F650F2" w:rsidP="00F650F2">
      <w:pPr>
        <w:tabs>
          <w:tab w:val="left" w:pos="709"/>
        </w:tabs>
        <w:spacing w:before="120" w:after="120"/>
        <w:ind w:firstLine="709"/>
        <w:jc w:val="both"/>
        <w:rPr>
          <w:color w:val="auto"/>
          <w:lang w:val="nl-NL"/>
        </w:rPr>
      </w:pPr>
      <w:r w:rsidRPr="00572365">
        <w:rPr>
          <w:color w:val="auto"/>
          <w:lang w:val="nl-NL"/>
        </w:rPr>
        <w:tab/>
        <w:t>- Thống nhất kế hoạch phân bổ vốn chương trình mục tiêu quốc gia năm 2018 của UBND huyện.</w:t>
      </w:r>
    </w:p>
    <w:p w:rsidR="00F650F2" w:rsidRDefault="00F650F2" w:rsidP="006C6826">
      <w:pPr>
        <w:tabs>
          <w:tab w:val="left" w:pos="709"/>
        </w:tabs>
        <w:spacing w:before="120" w:after="120"/>
        <w:ind w:firstLine="709"/>
        <w:jc w:val="both"/>
        <w:rPr>
          <w:color w:val="auto"/>
        </w:rPr>
      </w:pPr>
      <w:r w:rsidRPr="00572365">
        <w:rPr>
          <w:color w:val="auto"/>
          <w:lang w:val="nl-NL"/>
        </w:rPr>
        <w:lastRenderedPageBreak/>
        <w:tab/>
        <w:t>- Đề nghị UBND huyện triển khai thực hiện theo đúng quy định của Luật Đầu tư công 2014 và các văn bản khác của Bộ, ngành trung ương và của tỉnh.</w:t>
      </w:r>
    </w:p>
    <w:p w:rsidR="00F650F2" w:rsidRPr="00572365" w:rsidRDefault="00F650F2" w:rsidP="00F650F2">
      <w:pPr>
        <w:spacing w:before="120" w:after="120"/>
        <w:ind w:firstLine="709"/>
        <w:jc w:val="both"/>
        <w:rPr>
          <w:color w:val="auto"/>
          <w:lang w:val="vi-VN"/>
        </w:rPr>
      </w:pPr>
      <w:r w:rsidRPr="00572365">
        <w:rPr>
          <w:color w:val="auto"/>
        </w:rPr>
        <w:t>T</w:t>
      </w:r>
      <w:r w:rsidRPr="00572365">
        <w:rPr>
          <w:color w:val="auto"/>
          <w:lang w:val="vi-VN"/>
        </w:rPr>
        <w:t xml:space="preserve">rình Hội đồng nhân </w:t>
      </w:r>
      <w:r w:rsidRPr="00572365">
        <w:rPr>
          <w:color w:val="auto"/>
        </w:rPr>
        <w:t>huyện</w:t>
      </w:r>
      <w:r>
        <w:rPr>
          <w:color w:val="auto"/>
        </w:rPr>
        <w:t xml:space="preserve"> </w:t>
      </w:r>
      <w:r w:rsidRPr="00572365">
        <w:rPr>
          <w:color w:val="auto"/>
          <w:lang w:val="vi-VN"/>
        </w:rPr>
        <w:t>khóa X, kỳ họp thứ 5</w:t>
      </w:r>
      <w:r>
        <w:rPr>
          <w:color w:val="auto"/>
        </w:rPr>
        <w:t xml:space="preserve"> </w:t>
      </w:r>
      <w:r w:rsidRPr="00572365">
        <w:rPr>
          <w:color w:val="auto"/>
          <w:lang w:val="vi-VN"/>
        </w:rPr>
        <w:t>xem xét, quyết định./.</w:t>
      </w:r>
    </w:p>
    <w:tbl>
      <w:tblPr>
        <w:tblW w:w="4912" w:type="pct"/>
        <w:tblInd w:w="108" w:type="dxa"/>
        <w:tblLook w:val="01E0"/>
      </w:tblPr>
      <w:tblGrid>
        <w:gridCol w:w="4312"/>
        <w:gridCol w:w="5091"/>
      </w:tblGrid>
      <w:tr w:rsidR="00F650F2" w:rsidRPr="00572365" w:rsidTr="004E3FBB">
        <w:trPr>
          <w:trHeight w:val="2093"/>
        </w:trPr>
        <w:tc>
          <w:tcPr>
            <w:tcW w:w="2293" w:type="pct"/>
          </w:tcPr>
          <w:p w:rsidR="00F650F2" w:rsidRPr="00572365" w:rsidRDefault="00F650F2" w:rsidP="004E3FBB">
            <w:pPr>
              <w:spacing w:before="60"/>
              <w:rPr>
                <w:b/>
                <w:i/>
                <w:color w:val="auto"/>
                <w:sz w:val="24"/>
                <w:lang w:val="nl-NL"/>
              </w:rPr>
            </w:pPr>
            <w:r w:rsidRPr="00572365">
              <w:rPr>
                <w:b/>
                <w:i/>
                <w:color w:val="auto"/>
                <w:sz w:val="24"/>
                <w:lang w:val="nl-NL"/>
              </w:rPr>
              <w:t>Nơi nhận:</w:t>
            </w:r>
          </w:p>
          <w:p w:rsidR="00F650F2" w:rsidRPr="00572365" w:rsidRDefault="00F650F2" w:rsidP="004E3FBB">
            <w:pPr>
              <w:rPr>
                <w:color w:val="auto"/>
                <w:sz w:val="22"/>
                <w:lang w:val="nl-NL"/>
              </w:rPr>
            </w:pPr>
            <w:r w:rsidRPr="00942320">
              <w:rPr>
                <w:color w:val="auto"/>
              </w:rPr>
              <w:pict>
                <v:line id="_x0000_s1028" style="position:absolute;z-index:251662336;visibility:visible;mso-wrap-distance-left:3.17497mm;mso-wrap-distance-top:-3e-5mm;mso-wrap-distance-right:3.17497mm;mso-wrap-distance-bottom:-3e-5mm"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572365">
              <w:rPr>
                <w:color w:val="auto"/>
                <w:sz w:val="22"/>
                <w:lang w:val="nl-NL"/>
              </w:rPr>
              <w:t>- Thường trực HĐND huyện;</w:t>
            </w:r>
          </w:p>
          <w:p w:rsidR="00F650F2" w:rsidRPr="00572365" w:rsidRDefault="00F650F2" w:rsidP="004E3FBB">
            <w:pPr>
              <w:rPr>
                <w:color w:val="auto"/>
                <w:sz w:val="22"/>
                <w:lang w:val="nl-NL"/>
              </w:rPr>
            </w:pPr>
            <w:r w:rsidRPr="00572365">
              <w:rPr>
                <w:color w:val="auto"/>
                <w:sz w:val="22"/>
                <w:lang w:val="nl-NL"/>
              </w:rPr>
              <w:t>- Đại biểu HĐND huyện;</w:t>
            </w:r>
          </w:p>
          <w:p w:rsidR="00F650F2" w:rsidRPr="00572365" w:rsidRDefault="00F650F2" w:rsidP="004E3FBB">
            <w:pPr>
              <w:rPr>
                <w:color w:val="auto"/>
                <w:lang w:val="nl-NL"/>
              </w:rPr>
            </w:pPr>
            <w:r w:rsidRPr="00572365">
              <w:rPr>
                <w:color w:val="auto"/>
                <w:sz w:val="22"/>
                <w:lang w:val="nl-NL"/>
              </w:rPr>
              <w:t>- Lưu: VT, KT-XH</w:t>
            </w:r>
            <w:r w:rsidRPr="00572365">
              <w:rPr>
                <w:color w:val="auto"/>
                <w:sz w:val="14"/>
                <w:lang w:val="nl-NL"/>
              </w:rPr>
              <w:t>.</w:t>
            </w:r>
          </w:p>
          <w:p w:rsidR="00F650F2" w:rsidRPr="00572365" w:rsidRDefault="00F650F2" w:rsidP="004E3FBB">
            <w:pPr>
              <w:rPr>
                <w:color w:val="auto"/>
                <w:lang w:val="nl-NL"/>
              </w:rPr>
            </w:pPr>
          </w:p>
          <w:p w:rsidR="00F650F2" w:rsidRPr="00572365" w:rsidRDefault="00F650F2" w:rsidP="004E3FBB">
            <w:pPr>
              <w:rPr>
                <w:color w:val="auto"/>
                <w:lang w:val="nl-NL"/>
              </w:rPr>
            </w:pPr>
          </w:p>
          <w:p w:rsidR="00F650F2" w:rsidRPr="00572365" w:rsidRDefault="00F650F2" w:rsidP="004E3FBB">
            <w:pPr>
              <w:rPr>
                <w:color w:val="auto"/>
                <w:lang w:val="nl-NL"/>
              </w:rPr>
            </w:pPr>
          </w:p>
          <w:p w:rsidR="00F650F2" w:rsidRPr="00572365" w:rsidRDefault="00F650F2" w:rsidP="004E3FBB">
            <w:pPr>
              <w:ind w:firstLine="720"/>
              <w:rPr>
                <w:color w:val="auto"/>
                <w:szCs w:val="28"/>
                <w:lang w:val="nl-NL"/>
              </w:rPr>
            </w:pPr>
          </w:p>
        </w:tc>
        <w:tc>
          <w:tcPr>
            <w:tcW w:w="2707" w:type="pct"/>
          </w:tcPr>
          <w:p w:rsidR="00F650F2" w:rsidRPr="00AA360C" w:rsidRDefault="00F650F2" w:rsidP="004E3FBB">
            <w:pPr>
              <w:ind w:hanging="114"/>
              <w:jc w:val="center"/>
              <w:rPr>
                <w:b/>
                <w:color w:val="auto"/>
                <w:szCs w:val="28"/>
              </w:rPr>
            </w:pPr>
            <w:r w:rsidRPr="00AA360C">
              <w:rPr>
                <w:b/>
                <w:color w:val="auto"/>
                <w:szCs w:val="28"/>
              </w:rPr>
              <w:t xml:space="preserve">TM. BAN KINH TẾ </w:t>
            </w:r>
            <w:r w:rsidRPr="00AA360C">
              <w:rPr>
                <w:color w:val="auto"/>
                <w:szCs w:val="28"/>
              </w:rPr>
              <w:t>-</w:t>
            </w:r>
            <w:r w:rsidRPr="00AA360C">
              <w:rPr>
                <w:b/>
                <w:color w:val="auto"/>
                <w:szCs w:val="28"/>
              </w:rPr>
              <w:t xml:space="preserve"> XÃ HỘI</w:t>
            </w:r>
          </w:p>
          <w:p w:rsidR="00F650F2" w:rsidRPr="00AA360C" w:rsidRDefault="00F650F2" w:rsidP="004E3FBB">
            <w:pPr>
              <w:jc w:val="center"/>
              <w:rPr>
                <w:b/>
                <w:color w:val="auto"/>
                <w:szCs w:val="28"/>
              </w:rPr>
            </w:pPr>
            <w:r w:rsidRPr="00AA360C">
              <w:rPr>
                <w:b/>
                <w:color w:val="auto"/>
                <w:szCs w:val="28"/>
              </w:rPr>
              <w:t>KT. TRƯỞNG BAN</w:t>
            </w:r>
          </w:p>
          <w:p w:rsidR="00F650F2" w:rsidRDefault="00F650F2" w:rsidP="004E3FBB">
            <w:pPr>
              <w:jc w:val="center"/>
              <w:rPr>
                <w:b/>
                <w:color w:val="auto"/>
                <w:szCs w:val="28"/>
              </w:rPr>
            </w:pPr>
            <w:r w:rsidRPr="00AA360C">
              <w:rPr>
                <w:b/>
                <w:color w:val="auto"/>
                <w:szCs w:val="28"/>
              </w:rPr>
              <w:t>PHÓ TRƯỞNG BAN</w:t>
            </w:r>
          </w:p>
          <w:p w:rsidR="00F650F2" w:rsidRDefault="00F650F2" w:rsidP="004E3FBB">
            <w:pPr>
              <w:jc w:val="center"/>
              <w:rPr>
                <w:b/>
                <w:color w:val="auto"/>
                <w:szCs w:val="28"/>
              </w:rPr>
            </w:pPr>
            <w:r>
              <w:rPr>
                <w:b/>
                <w:color w:val="auto"/>
                <w:szCs w:val="28"/>
              </w:rPr>
              <w:t>(Đã ký)</w:t>
            </w:r>
          </w:p>
          <w:p w:rsidR="00F650F2" w:rsidRPr="00AA360C" w:rsidRDefault="00F650F2" w:rsidP="004E3FBB">
            <w:pPr>
              <w:jc w:val="center"/>
              <w:rPr>
                <w:b/>
                <w:color w:val="auto"/>
                <w:szCs w:val="28"/>
              </w:rPr>
            </w:pPr>
          </w:p>
          <w:p w:rsidR="00F650F2" w:rsidRPr="00AA360C" w:rsidRDefault="00F650F2" w:rsidP="004E3FBB">
            <w:pPr>
              <w:jc w:val="center"/>
              <w:rPr>
                <w:b/>
                <w:color w:val="auto"/>
                <w:szCs w:val="28"/>
              </w:rPr>
            </w:pPr>
            <w:r w:rsidRPr="00AA360C">
              <w:rPr>
                <w:b/>
                <w:color w:val="auto"/>
                <w:szCs w:val="28"/>
              </w:rPr>
              <w:t>Đinh Trọng Lịch</w:t>
            </w:r>
          </w:p>
          <w:p w:rsidR="00F650F2" w:rsidRPr="00572365" w:rsidRDefault="00F650F2" w:rsidP="004E3FBB">
            <w:pPr>
              <w:jc w:val="center"/>
              <w:rPr>
                <w:b/>
                <w:color w:val="auto"/>
                <w:szCs w:val="28"/>
              </w:rPr>
            </w:pPr>
          </w:p>
        </w:tc>
      </w:tr>
    </w:tbl>
    <w:p w:rsidR="00F650F2" w:rsidRDefault="00F650F2" w:rsidP="00F650F2">
      <w:pPr>
        <w:spacing w:before="120"/>
        <w:ind w:firstLine="709"/>
        <w:jc w:val="both"/>
        <w:rPr>
          <w:szCs w:val="28"/>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27A" w:rsidRDefault="0064227A" w:rsidP="00F650F2">
      <w:r>
        <w:separator/>
      </w:r>
    </w:p>
  </w:endnote>
  <w:endnote w:type="continuationSeparator" w:id="1">
    <w:p w:rsidR="0064227A" w:rsidRDefault="0064227A" w:rsidP="00F6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27A" w:rsidRDefault="0064227A" w:rsidP="00F650F2">
      <w:r>
        <w:separator/>
      </w:r>
    </w:p>
  </w:footnote>
  <w:footnote w:type="continuationSeparator" w:id="1">
    <w:p w:rsidR="0064227A" w:rsidRDefault="0064227A" w:rsidP="00F650F2">
      <w:r>
        <w:continuationSeparator/>
      </w:r>
    </w:p>
  </w:footnote>
  <w:footnote w:id="2">
    <w:p w:rsidR="00F650F2" w:rsidRDefault="00F650F2" w:rsidP="00F650F2">
      <w:pPr>
        <w:pStyle w:val="FootnoteText"/>
        <w:ind w:firstLine="567"/>
        <w:jc w:val="both"/>
      </w:pPr>
      <w:r>
        <w:rPr>
          <w:vertAlign w:val="superscript"/>
        </w:rPr>
        <w:t>(</w:t>
      </w:r>
      <w:r>
        <w:rPr>
          <w:rStyle w:val="FootnoteReference"/>
        </w:rPr>
        <w:footnoteRef/>
      </w:r>
      <w:r>
        <w:rPr>
          <w:vertAlign w:val="superscript"/>
        </w:rPr>
        <w:t xml:space="preserve">) </w:t>
      </w:r>
      <w:r>
        <w:rPr>
          <w:szCs w:val="28"/>
          <w:lang w:val="nl-NL"/>
        </w:rPr>
        <w:t xml:space="preserve">Trong đó 04 dự án đã hoàn thành đưa vào sử dụng, 05 dự án đang triển khai thi công dự kiến hoàn thành năm 2018. Trả nợ xây dựng những công trình hoàn thành 7.321 triệu đồng, cụ thể </w:t>
      </w:r>
      <w:r>
        <w:rPr>
          <w:i/>
          <w:szCs w:val="28"/>
          <w:lang w:val="nl-NL"/>
        </w:rPr>
        <w:t>(trường THCS Rờ Kơi, Trường tiểu học Nguyễn Bá Ngọc xã Sa Bình, đường U rê, Trung tâm Văn hóa xã Sa Sơn, Đường Cù Chính Lan).</w:t>
      </w:r>
    </w:p>
  </w:footnote>
  <w:footnote w:id="3">
    <w:p w:rsidR="00F650F2" w:rsidRDefault="00F650F2" w:rsidP="00F650F2">
      <w:pPr>
        <w:pStyle w:val="FootnoteText"/>
        <w:ind w:firstLine="567"/>
      </w:pPr>
      <w:r>
        <w:rPr>
          <w:vertAlign w:val="superscript"/>
          <w:lang w:val="vi-VN"/>
        </w:rPr>
        <w:t>(</w:t>
      </w:r>
      <w:r>
        <w:rPr>
          <w:rStyle w:val="FootnoteReference"/>
        </w:rPr>
        <w:footnoteRef/>
      </w:r>
      <w:r>
        <w:rPr>
          <w:vertAlign w:val="superscript"/>
          <w:lang w:val="vi-VN"/>
        </w:rPr>
        <w:t>)</w:t>
      </w:r>
      <w:r>
        <w:rPr>
          <w:vertAlign w:val="superscript"/>
        </w:rPr>
        <w:t xml:space="preserve"> </w:t>
      </w:r>
      <w:r>
        <w:t>Công văn số 2203/SKHĐT ngày 05/12/2017 của Sở Kế hoạch &amp; Đầu tư</w:t>
      </w:r>
      <w:r>
        <w:rPr>
          <w:lang w:val="vi-V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650F2"/>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227A"/>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826"/>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50F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F2"/>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F650F2"/>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F650F2"/>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F650F2"/>
    <w:rPr>
      <w:vertAlign w:val="superscript"/>
    </w:rPr>
  </w:style>
  <w:style w:type="paragraph" w:customStyle="1" w:styleId="041">
    <w:name w:val="041"/>
    <w:aliases w:val="Body1"/>
    <w:basedOn w:val="Normal"/>
    <w:qFormat/>
    <w:rsid w:val="00F650F2"/>
    <w:pPr>
      <w:spacing w:before="120" w:after="120" w:line="264" w:lineRule="auto"/>
      <w:ind w:firstLine="720"/>
      <w:jc w:val="both"/>
    </w:pPr>
    <w:rPr>
      <w:rFonts w:eastAsia="Calibri"/>
      <w:color w:val="auto"/>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Company>Sky123.Org</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2018-05-27T11:25:00Z</dcterms:created>
  <dcterms:modified xsi:type="dcterms:W3CDTF">2018-05-27T11:25:00Z</dcterms:modified>
</cp:coreProperties>
</file>