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6302"/>
      </w:tblGrid>
      <w:tr w:rsidR="00054F77" w:rsidTr="004E3FBB">
        <w:trPr>
          <w:trHeight w:hRule="exact" w:val="853"/>
        </w:trPr>
        <w:tc>
          <w:tcPr>
            <w:tcW w:w="3346" w:type="dxa"/>
            <w:tcBorders>
              <w:top w:val="nil"/>
              <w:left w:val="nil"/>
              <w:bottom w:val="nil"/>
              <w:right w:val="nil"/>
            </w:tcBorders>
            <w:hideMark/>
          </w:tcPr>
          <w:p w:rsidR="00054F77" w:rsidRPr="00D11BF3" w:rsidRDefault="00054F77" w:rsidP="004E3FBB">
            <w:pPr>
              <w:pStyle w:val="Heading2"/>
              <w:rPr>
                <w:b/>
                <w:i w:val="0"/>
                <w:sz w:val="26"/>
                <w:szCs w:val="26"/>
              </w:rPr>
            </w:pPr>
            <w:r w:rsidRPr="00D11BF3">
              <w:rPr>
                <w:b/>
                <w:i w:val="0"/>
                <w:sz w:val="26"/>
                <w:szCs w:val="26"/>
              </w:rPr>
              <w:t>HỘI ĐỒNG NHÂN DÂN</w:t>
            </w:r>
          </w:p>
          <w:p w:rsidR="00054F77" w:rsidRDefault="00054F77" w:rsidP="004E3FBB">
            <w:pPr>
              <w:jc w:val="center"/>
              <w:rPr>
                <w:b/>
                <w:color w:val="auto"/>
                <w:sz w:val="26"/>
                <w:szCs w:val="26"/>
              </w:rPr>
            </w:pPr>
            <w:r w:rsidRPr="00942320">
              <w:rPr>
                <w:color w:val="000080"/>
                <w:sz w:val="26"/>
                <w:szCs w:val="26"/>
              </w:rPr>
              <w:pict>
                <v:line id="_x0000_s1027" style="position:absolute;left:0;text-align:left;z-index:251661312;visibility:visibl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dpHAIAADU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9PFdPYEHaS3rYQUt3PGOv+J6x6FoMRSqKAaKcjxxfnA&#10;gxS3lLCs9EZIGTsvFRpKvJjm03jAaSlY2Axpzrb7Slp0JME78M2jXQDsIc3qg2IRrOOEra+xJ0Je&#10;YsiXKuBBJUDnGl3M8WORLtbz9XwymuSz9WiS1vXo46aajGab7MO0fqqrqs5+BmrZpOgEY1wFdjej&#10;ZpO/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J9ap2kcAgAANQQAAA4AAAAAAAAAAAAAAAAALgIAAGRycy9lMm9Eb2MueG1sUEsBAi0A&#10;FAAGAAgAAAAhAJxiYGbdAAAACQEAAA8AAAAAAAAAAAAAAAAAdgQAAGRycy9kb3ducmV2LnhtbFBL&#10;BQYAAAAABAAEAPMAAACABQAAAAA=&#10;" strokecolor="navy"/>
              </w:pict>
            </w:r>
            <w:r w:rsidRPr="00D11BF3">
              <w:rPr>
                <w:b/>
                <w:color w:val="auto"/>
                <w:sz w:val="26"/>
                <w:szCs w:val="26"/>
              </w:rPr>
              <w:t>HUYỆN SA THẦY</w:t>
            </w:r>
          </w:p>
        </w:tc>
        <w:tc>
          <w:tcPr>
            <w:tcW w:w="6302" w:type="dxa"/>
            <w:tcBorders>
              <w:top w:val="nil"/>
              <w:left w:val="nil"/>
              <w:bottom w:val="nil"/>
              <w:right w:val="nil"/>
            </w:tcBorders>
            <w:hideMark/>
          </w:tcPr>
          <w:p w:rsidR="00054F77" w:rsidRDefault="00054F77" w:rsidP="004E3FBB">
            <w:pPr>
              <w:spacing w:before="60"/>
              <w:jc w:val="center"/>
              <w:rPr>
                <w:b/>
                <w:color w:val="auto"/>
                <w:sz w:val="26"/>
                <w:szCs w:val="26"/>
              </w:rPr>
            </w:pPr>
            <w:r>
              <w:rPr>
                <w:b/>
                <w:color w:val="auto"/>
                <w:sz w:val="26"/>
              </w:rPr>
              <w:t>CỘNG HÒA XÃ HỘI CHỦ NGHĨA VIỆT NAM</w:t>
            </w:r>
          </w:p>
          <w:p w:rsidR="00054F77" w:rsidRDefault="00054F77" w:rsidP="004E3FBB">
            <w:pPr>
              <w:jc w:val="center"/>
              <w:rPr>
                <w:b/>
                <w:color w:val="auto"/>
                <w:sz w:val="26"/>
                <w:szCs w:val="26"/>
              </w:rPr>
            </w:pPr>
            <w:r w:rsidRPr="00942320">
              <w:rPr>
                <w:color w:val="000080"/>
              </w:rPr>
              <w:pict>
                <v:line id="_x0000_s1028" style="position:absolute;left:0;text-align:left;z-index:251662336;visibility:visible" from="66.5pt,17.75pt" to="236.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EZPrBfdAAAACQEAAA8AAABkcnMvZG93bnJldi54bWxMj81OwzAQhO9I&#10;vIO1SFwqatMfVEKcCgG5caGAuG7jJYmI12nstoGnZxEHOM7saPabfD36Th1oiG1gC5dTA4q4Cq7l&#10;2sLLc3mxAhUTssMuMFn4pAjr4vQkx8yFIz/RYZNqJSUcM7TQpNRnWseqIY9xGnpiub2HwWMSOdTa&#10;DXiUct/pmTFX2mPL8qHBnu4aqj42e28hlq+0K78m1cS8zetAs9394wNae3423t6ASjSmvzD84As6&#10;FMK0DXt2UXWizUrQk4X5cglKAovFtYzb/hq6yPX/BcU3AAAA//8DAFBLAQItABQABgAIAAAAIQC2&#10;gziS/gAAAOEBAAATAAAAAAAAAAAAAAAAAAAAAABbQ29udGVudF9UeXBlc10ueG1sUEsBAi0AFAAG&#10;AAgAAAAhADj9If/WAAAAlAEAAAsAAAAAAAAAAAAAAAAALwEAAF9yZWxzLy5yZWxzUEsBAi0AFAAG&#10;AAgAAAAhACLBUx0cAgAANgQAAA4AAAAAAAAAAAAAAAAALgIAAGRycy9lMm9Eb2MueG1sUEsBAi0A&#10;FAAGAAgAAAAhAEZPrBfdAAAACQEAAA8AAAAAAAAAAAAAAAAAdgQAAGRycy9kb3ducmV2LnhtbFBL&#10;BQYAAAAABAAEAPMAAACABQAAAAA=&#10;"/>
              </w:pict>
            </w:r>
            <w:r>
              <w:rPr>
                <w:b/>
                <w:color w:val="auto"/>
              </w:rPr>
              <w:t>Độc lập - Tự do - Hạnh phúc</w:t>
            </w:r>
          </w:p>
        </w:tc>
      </w:tr>
      <w:tr w:rsidR="00054F77" w:rsidTr="004E3FBB">
        <w:trPr>
          <w:trHeight w:hRule="exact" w:val="427"/>
        </w:trPr>
        <w:tc>
          <w:tcPr>
            <w:tcW w:w="3346" w:type="dxa"/>
            <w:tcBorders>
              <w:top w:val="nil"/>
              <w:left w:val="nil"/>
              <w:bottom w:val="nil"/>
              <w:right w:val="nil"/>
            </w:tcBorders>
            <w:hideMark/>
          </w:tcPr>
          <w:p w:rsidR="00054F77" w:rsidRPr="00D81878" w:rsidRDefault="00054F77" w:rsidP="004E3FBB">
            <w:pPr>
              <w:spacing w:before="60"/>
              <w:jc w:val="center"/>
              <w:rPr>
                <w:color w:val="auto"/>
                <w:sz w:val="26"/>
                <w:szCs w:val="26"/>
              </w:rPr>
            </w:pPr>
            <w:r w:rsidRPr="00D81878">
              <w:rPr>
                <w:color w:val="auto"/>
                <w:sz w:val="26"/>
                <w:szCs w:val="26"/>
              </w:rPr>
              <w:t>Số: 92/BC-HĐND</w:t>
            </w:r>
          </w:p>
        </w:tc>
        <w:tc>
          <w:tcPr>
            <w:tcW w:w="6302" w:type="dxa"/>
            <w:tcBorders>
              <w:top w:val="nil"/>
              <w:left w:val="nil"/>
              <w:bottom w:val="nil"/>
              <w:right w:val="nil"/>
            </w:tcBorders>
          </w:tcPr>
          <w:p w:rsidR="00054F77" w:rsidRDefault="00054F77" w:rsidP="004E3FBB">
            <w:pPr>
              <w:jc w:val="center"/>
              <w:rPr>
                <w:i/>
                <w:color w:val="auto"/>
                <w:szCs w:val="26"/>
              </w:rPr>
            </w:pPr>
            <w:r>
              <w:rPr>
                <w:i/>
                <w:color w:val="auto"/>
              </w:rPr>
              <w:t>Sa Thầy, ngày 12 tháng 12 năm 2017</w:t>
            </w:r>
          </w:p>
          <w:p w:rsidR="00054F77" w:rsidRDefault="00054F77" w:rsidP="004E3FBB">
            <w:pPr>
              <w:spacing w:before="60"/>
              <w:ind w:left="720"/>
              <w:jc w:val="center"/>
              <w:rPr>
                <w:i/>
                <w:color w:val="auto"/>
                <w:szCs w:val="26"/>
              </w:rPr>
            </w:pPr>
          </w:p>
        </w:tc>
      </w:tr>
    </w:tbl>
    <w:p w:rsidR="00054F77" w:rsidRDefault="00054F77" w:rsidP="00054F77">
      <w:pPr>
        <w:jc w:val="center"/>
        <w:rPr>
          <w:b/>
          <w:color w:val="auto"/>
        </w:rPr>
      </w:pPr>
    </w:p>
    <w:p w:rsidR="00054F77" w:rsidRDefault="00054F77" w:rsidP="00054F77">
      <w:pPr>
        <w:jc w:val="center"/>
        <w:rPr>
          <w:b/>
          <w:color w:val="auto"/>
          <w:szCs w:val="26"/>
        </w:rPr>
      </w:pPr>
      <w:r>
        <w:rPr>
          <w:b/>
          <w:color w:val="auto"/>
        </w:rPr>
        <w:t>BÁO CÁO THẨM TRA</w:t>
      </w:r>
    </w:p>
    <w:p w:rsidR="00054F77" w:rsidRDefault="00054F77" w:rsidP="00054F77">
      <w:pPr>
        <w:jc w:val="center"/>
        <w:rPr>
          <w:b/>
          <w:color w:val="auto"/>
        </w:rPr>
      </w:pPr>
      <w:r>
        <w:rPr>
          <w:b/>
          <w:color w:val="auto"/>
        </w:rPr>
        <w:t>Dự toán ngân sách địa phương và phương án phân bổ</w:t>
      </w:r>
    </w:p>
    <w:p w:rsidR="00054F77" w:rsidRDefault="00054F77" w:rsidP="00054F77">
      <w:pPr>
        <w:jc w:val="center"/>
        <w:rPr>
          <w:b/>
          <w:color w:val="auto"/>
        </w:rPr>
      </w:pPr>
      <w:r>
        <w:rPr>
          <w:b/>
          <w:color w:val="auto"/>
        </w:rPr>
        <w:t>ngân sách huyện năm 2018</w:t>
      </w:r>
    </w:p>
    <w:p w:rsidR="00054F77" w:rsidRDefault="00054F77" w:rsidP="00054F77">
      <w:pPr>
        <w:jc w:val="center"/>
        <w:rPr>
          <w:b/>
          <w:color w:val="auto"/>
        </w:rPr>
      </w:pPr>
      <w:r w:rsidRPr="00942320">
        <w:rPr>
          <w:color w:val="000080"/>
        </w:rPr>
        <w:pict>
          <v:line id="_x0000_s1026" style="position:absolute;left:0;text-align:left;z-index:251660288" from="219.15pt,5.3pt" to="240.15pt,5.3pt" strokeweight="1pt"/>
        </w:pict>
      </w:r>
    </w:p>
    <w:p w:rsidR="00054F77" w:rsidRDefault="00054F77" w:rsidP="00054F77">
      <w:pPr>
        <w:spacing w:before="120" w:after="120"/>
        <w:ind w:firstLine="709"/>
        <w:jc w:val="both"/>
        <w:outlineLvl w:val="0"/>
        <w:rPr>
          <w:color w:val="auto"/>
        </w:rPr>
      </w:pPr>
      <w:r>
        <w:rPr>
          <w:color w:val="auto"/>
        </w:rPr>
        <w:tab/>
        <w:t>Thực hiện chỉ đạo của Thường trực HĐND huyện về việc thẩm tra các nội dung trình kỳ họp thứ 5, HĐND huyện khóa X. Ban Kinh tế - Xã hội đã họp thẩm tra báo cáo của Ủy ban nhân dân huyện về tình hình thực hiện dự toán thu, chi ngân sách năm 2017, dự toán NSĐP và phương án phân bổ ngân sách huyện  năm 2018. Tham dự cuộc họp có Thường trực HĐND huyện, đại diện các Ban của Hội đồng nhân dân huyện, đại diện các phòng, ban có liên quan.</w:t>
      </w:r>
    </w:p>
    <w:p w:rsidR="00054F77" w:rsidRDefault="00054F77" w:rsidP="00054F77">
      <w:pPr>
        <w:spacing w:before="120" w:after="120"/>
        <w:ind w:firstLine="709"/>
        <w:jc w:val="both"/>
        <w:rPr>
          <w:color w:val="auto"/>
        </w:rPr>
      </w:pPr>
      <w:r>
        <w:rPr>
          <w:color w:val="auto"/>
        </w:rPr>
        <w:tab/>
        <w:t>Căn cứ Luật Ngân sách nhà nước năm 2015, các hướng dẫn của Bộ, cơ quan liên ngành, Nghị quyết của Hội đồng nhân dân huyện về dự toán thu, chi ngân sách địa phương và phương án phân bổ ngân sách năm 2017. Ban Kinh tế - Xã hội xin báo cáo Hội đồng nhân dân huyện một số nội dung sau:</w:t>
      </w:r>
    </w:p>
    <w:p w:rsidR="00054F77" w:rsidRDefault="00054F77" w:rsidP="00054F77">
      <w:pPr>
        <w:numPr>
          <w:ilvl w:val="0"/>
          <w:numId w:val="1"/>
        </w:numPr>
        <w:tabs>
          <w:tab w:val="left" w:pos="993"/>
        </w:tabs>
        <w:spacing w:before="120" w:after="120"/>
        <w:ind w:left="0" w:firstLine="709"/>
        <w:jc w:val="both"/>
        <w:outlineLvl w:val="0"/>
        <w:rPr>
          <w:b/>
          <w:color w:val="000000"/>
          <w:lang w:val="vi-VN"/>
        </w:rPr>
      </w:pPr>
      <w:r>
        <w:rPr>
          <w:b/>
          <w:color w:val="000000"/>
          <w:lang w:val="am-ET"/>
        </w:rPr>
        <w:t>D</w:t>
      </w:r>
      <w:r>
        <w:rPr>
          <w:b/>
          <w:color w:val="000000"/>
        </w:rPr>
        <w:t>ự toán thu</w:t>
      </w:r>
      <w:r>
        <w:rPr>
          <w:b/>
          <w:color w:val="000000"/>
          <w:lang w:val="am-ET"/>
        </w:rPr>
        <w:t xml:space="preserve"> </w:t>
      </w:r>
      <w:r>
        <w:rPr>
          <w:b/>
          <w:color w:val="000000"/>
        </w:rPr>
        <w:t xml:space="preserve">ngân sách </w:t>
      </w:r>
      <w:r>
        <w:rPr>
          <w:b/>
          <w:color w:val="000000"/>
          <w:lang w:val="am-ET"/>
        </w:rPr>
        <w:t xml:space="preserve">địa phương </w:t>
      </w:r>
      <w:r>
        <w:rPr>
          <w:b/>
          <w:color w:val="000000"/>
        </w:rPr>
        <w:t>năm 2018</w:t>
      </w:r>
    </w:p>
    <w:p w:rsidR="00054F77" w:rsidRDefault="00054F77" w:rsidP="00054F77">
      <w:pPr>
        <w:spacing w:before="120" w:after="120"/>
        <w:ind w:firstLine="709"/>
        <w:jc w:val="both"/>
        <w:outlineLvl w:val="0"/>
        <w:rPr>
          <w:color w:val="000000"/>
        </w:rPr>
      </w:pPr>
      <w:r>
        <w:rPr>
          <w:color w:val="000000"/>
        </w:rPr>
        <w:t xml:space="preserve">Năm 2018, Tỉnh giao dự toán thu NSNN trên địa bàn 64.570 triệu đồng, tăng 17,6% so dự toán năm 2017. UBND huyện đề nghị HĐND huyện giao 71.367 triệu đồng </w:t>
      </w:r>
      <w:r w:rsidRPr="00EC634D">
        <w:rPr>
          <w:i/>
          <w:color w:val="000000"/>
        </w:rPr>
        <w:t>(tăng 6.797 triệu đồng so với tỉnh giao</w:t>
      </w:r>
      <w:r w:rsidRPr="00EC634D">
        <w:rPr>
          <w:b/>
          <w:i/>
          <w:color w:val="000000"/>
          <w:vertAlign w:val="superscript"/>
          <w:lang w:val="am-ET"/>
        </w:rPr>
        <w:t xml:space="preserve"> </w:t>
      </w:r>
      <w:r w:rsidRPr="00EC634D">
        <w:rPr>
          <w:i/>
          <w:color w:val="000000"/>
          <w:vertAlign w:val="superscript"/>
          <w:lang w:val="am-ET"/>
        </w:rPr>
        <w:t>(</w:t>
      </w:r>
      <w:r w:rsidRPr="00EC634D">
        <w:rPr>
          <w:rStyle w:val="FootnoteReference"/>
          <w:i/>
          <w:color w:val="000000"/>
        </w:rPr>
        <w:footnoteReference w:id="2"/>
      </w:r>
      <w:r w:rsidRPr="00EC634D">
        <w:rPr>
          <w:i/>
          <w:color w:val="000000"/>
          <w:vertAlign w:val="superscript"/>
          <w:lang w:val="am-ET"/>
        </w:rPr>
        <w:t>)</w:t>
      </w:r>
      <w:r w:rsidRPr="00EC634D">
        <w:rPr>
          <w:i/>
          <w:color w:val="000000"/>
        </w:rPr>
        <w:t>).</w:t>
      </w:r>
      <w:r>
        <w:rPr>
          <w:color w:val="000000"/>
        </w:rPr>
        <w:t xml:space="preserve"> </w:t>
      </w:r>
    </w:p>
    <w:p w:rsidR="00054F77" w:rsidRDefault="00054F77" w:rsidP="00054F77">
      <w:pPr>
        <w:spacing w:before="120" w:after="120"/>
        <w:ind w:firstLine="709"/>
        <w:jc w:val="both"/>
        <w:outlineLvl w:val="0"/>
        <w:rPr>
          <w:color w:val="000000"/>
        </w:rPr>
      </w:pPr>
      <w:r>
        <w:rPr>
          <w:color w:val="000000"/>
        </w:rPr>
        <w:t xml:space="preserve">Dự toán thu ngân sách huyện hưởng năm 2018 là </w:t>
      </w:r>
      <w:r>
        <w:rPr>
          <w:color w:val="000000"/>
          <w:szCs w:val="28"/>
        </w:rPr>
        <w:t>320.670</w:t>
      </w:r>
      <w:r>
        <w:rPr>
          <w:color w:val="000000"/>
        </w:rPr>
        <w:t xml:space="preserve"> triệu đồng, tăng </w:t>
      </w:r>
      <w:r>
        <w:rPr>
          <w:color w:val="000000"/>
          <w:szCs w:val="28"/>
        </w:rPr>
        <w:t>1,65</w:t>
      </w:r>
      <w:r>
        <w:rPr>
          <w:color w:val="000000"/>
        </w:rPr>
        <w:t>% so với dự toán tỉnh giao. Trong đó: thu nội địa ngân sách huyện hưởng là 57.856 triệu đồng.</w:t>
      </w:r>
    </w:p>
    <w:p w:rsidR="00054F77" w:rsidRDefault="00054F77" w:rsidP="00054F77">
      <w:pPr>
        <w:numPr>
          <w:ilvl w:val="0"/>
          <w:numId w:val="1"/>
        </w:numPr>
        <w:tabs>
          <w:tab w:val="left" w:pos="993"/>
        </w:tabs>
        <w:spacing w:before="120" w:after="120"/>
        <w:ind w:left="0" w:firstLine="709"/>
        <w:jc w:val="both"/>
        <w:outlineLvl w:val="0"/>
        <w:rPr>
          <w:b/>
          <w:color w:val="000000"/>
        </w:rPr>
      </w:pPr>
      <w:r>
        <w:rPr>
          <w:b/>
          <w:color w:val="000000"/>
        </w:rPr>
        <w:t>Dự toán chi sách địa phương năm 2018</w:t>
      </w:r>
    </w:p>
    <w:p w:rsidR="00054F77" w:rsidRDefault="00054F77" w:rsidP="00054F77">
      <w:pPr>
        <w:spacing w:before="120" w:after="120"/>
        <w:ind w:firstLine="709"/>
        <w:jc w:val="both"/>
        <w:outlineLvl w:val="0"/>
        <w:rPr>
          <w:color w:val="000000"/>
        </w:rPr>
      </w:pPr>
      <w:r>
        <w:rPr>
          <w:color w:val="000000"/>
        </w:rPr>
        <w:t xml:space="preserve">Dự toán chi ngân sách huyện năm 2018 là 320.670 triệu đồng </w:t>
      </w:r>
      <w:r w:rsidRPr="00EC634D">
        <w:rPr>
          <w:i/>
          <w:color w:val="auto"/>
        </w:rPr>
        <w:t>(tăng 5.207 triệu đồng so với tỉnh giao)</w:t>
      </w:r>
      <w:r w:rsidRPr="00EC634D">
        <w:rPr>
          <w:i/>
          <w:color w:val="000000"/>
        </w:rPr>
        <w:t>.</w:t>
      </w:r>
      <w:r>
        <w:rPr>
          <w:color w:val="000000"/>
        </w:rPr>
        <w:t xml:space="preserve"> Trong đó:</w:t>
      </w:r>
    </w:p>
    <w:p w:rsidR="00054F77" w:rsidRPr="00EC634D" w:rsidRDefault="00054F77" w:rsidP="00054F77">
      <w:pPr>
        <w:spacing w:before="120" w:after="120"/>
        <w:ind w:firstLine="709"/>
        <w:jc w:val="both"/>
        <w:outlineLvl w:val="0"/>
        <w:rPr>
          <w:i/>
          <w:color w:val="000000"/>
        </w:rPr>
      </w:pPr>
      <w:r>
        <w:rPr>
          <w:color w:val="000000"/>
        </w:rPr>
        <w:t>- Dự toán chi cân đối ngân sách</w:t>
      </w:r>
      <w:r>
        <w:rPr>
          <w:color w:val="000000"/>
        </w:rPr>
        <w:tab/>
        <w:t xml:space="preserve"> huyện 256.815 triệu đồng </w:t>
      </w:r>
      <w:r w:rsidRPr="00EC634D">
        <w:rPr>
          <w:i/>
          <w:color w:val="000000"/>
        </w:rPr>
        <w:t>(trong đó: Chi cân đối nguồn ngân sách 256.365 triệu đồng và chi từ nguồn quản lý qua ngân sách 450 triệu đồng);</w:t>
      </w:r>
    </w:p>
    <w:p w:rsidR="00054F77" w:rsidRDefault="00054F77" w:rsidP="00054F77">
      <w:pPr>
        <w:spacing w:before="120" w:after="120"/>
        <w:ind w:firstLine="709"/>
        <w:jc w:val="both"/>
        <w:outlineLvl w:val="0"/>
        <w:rPr>
          <w:color w:val="000000"/>
        </w:rPr>
      </w:pPr>
      <w:r>
        <w:rPr>
          <w:color w:val="000000"/>
        </w:rPr>
        <w:t xml:space="preserve">- Dự toán chi từ nguồn bổ sung có mục tiêu ngân sách Trung ương để thực hiện các chương trình mục tiêu Quốc gia, Chương trình mục tiêu và nhiệm vụ khác 63.855 triệu đồng. </w:t>
      </w:r>
    </w:p>
    <w:p w:rsidR="00054F77" w:rsidRDefault="00054F77" w:rsidP="00054F77">
      <w:pPr>
        <w:numPr>
          <w:ilvl w:val="0"/>
          <w:numId w:val="1"/>
        </w:numPr>
        <w:tabs>
          <w:tab w:val="left" w:pos="993"/>
        </w:tabs>
        <w:spacing w:before="120" w:after="120"/>
        <w:ind w:left="0" w:firstLine="709"/>
        <w:jc w:val="both"/>
        <w:outlineLvl w:val="0"/>
        <w:rPr>
          <w:b/>
          <w:color w:val="000000"/>
        </w:rPr>
      </w:pPr>
      <w:r>
        <w:rPr>
          <w:b/>
          <w:color w:val="000000"/>
        </w:rPr>
        <w:t>Về phương án phân bổ ngân sách năm 2018</w:t>
      </w:r>
    </w:p>
    <w:p w:rsidR="00054F77" w:rsidRDefault="00054F77" w:rsidP="00054F77">
      <w:pPr>
        <w:spacing w:before="120" w:after="120"/>
        <w:ind w:firstLine="709"/>
        <w:jc w:val="both"/>
        <w:outlineLvl w:val="0"/>
        <w:rPr>
          <w:color w:val="000000"/>
        </w:rPr>
      </w:pPr>
      <w:r>
        <w:rPr>
          <w:color w:val="000000"/>
        </w:rPr>
        <w:lastRenderedPageBreak/>
        <w:t>Ban Kinh tế - Xã hội cơ bản thống nhất với phương án phân bổ dự toán chi ngân sách huyện năm 2018 như tại dự thảo nghị quyết. Dự toán tổng thu ngân sách huyện hưởng là 320.670 triệu đồng phân bổ cho các nhiệm vụ chi như sau:</w:t>
      </w:r>
    </w:p>
    <w:p w:rsidR="00054F77" w:rsidRDefault="00054F77" w:rsidP="00054F77">
      <w:pPr>
        <w:spacing w:before="120" w:after="120"/>
        <w:ind w:firstLine="709"/>
        <w:jc w:val="both"/>
        <w:outlineLvl w:val="0"/>
        <w:rPr>
          <w:color w:val="000000"/>
        </w:rPr>
      </w:pPr>
      <w:r>
        <w:rPr>
          <w:color w:val="000000"/>
        </w:rPr>
        <w:t xml:space="preserve">- Chi cân đối ngân sách huyện là 256.365 triệu đồng. Trong đó: Chi đầu tư XDCB 10.750 triệu đồng; chi thường xuyên </w:t>
      </w:r>
      <w:r>
        <w:rPr>
          <w:color w:val="000000"/>
          <w:szCs w:val="28"/>
        </w:rPr>
        <w:t>240.595</w:t>
      </w:r>
      <w:r>
        <w:rPr>
          <w:color w:val="000000"/>
        </w:rPr>
        <w:t xml:space="preserve"> triệu đồng; chi dự phòng </w:t>
      </w:r>
      <w:r>
        <w:rPr>
          <w:color w:val="000000"/>
          <w:szCs w:val="28"/>
        </w:rPr>
        <w:t>5.020</w:t>
      </w:r>
      <w:r>
        <w:rPr>
          <w:color w:val="000000"/>
        </w:rPr>
        <w:t xml:space="preserve"> triệu đồng.</w:t>
      </w:r>
    </w:p>
    <w:p w:rsidR="00054F77" w:rsidRDefault="00054F77" w:rsidP="00054F77">
      <w:pPr>
        <w:spacing w:before="120" w:after="120"/>
        <w:ind w:firstLine="709"/>
        <w:jc w:val="both"/>
        <w:outlineLvl w:val="0"/>
        <w:rPr>
          <w:color w:val="000000"/>
        </w:rPr>
      </w:pPr>
      <w:r>
        <w:rPr>
          <w:color w:val="000000"/>
        </w:rPr>
        <w:t xml:space="preserve">- Chi từ nguồn dự kiến tăng thu so với tỉnh giao: 5.207 triệu đồng. Trong đó: Chi đầu tư XDCB </w:t>
      </w:r>
      <w:r w:rsidRPr="00EC634D">
        <w:rPr>
          <w:i/>
          <w:color w:val="000000"/>
        </w:rPr>
        <w:t>(nguồn thu sử dụng đất)</w:t>
      </w:r>
      <w:r>
        <w:rPr>
          <w:color w:val="000000"/>
        </w:rPr>
        <w:t xml:space="preserve"> 2.470 triệu đồng; Chi cải cách tiền lương: 1.368 triệu đồng; chi sửa chữa phòng làm việc và công trình phúc lợi khác: 1.300 triệu đồng; chi dự phòng 69 triệu đồng.</w:t>
      </w:r>
    </w:p>
    <w:p w:rsidR="00054F77" w:rsidRDefault="00054F77" w:rsidP="00054F77">
      <w:pPr>
        <w:spacing w:before="120" w:after="120"/>
        <w:ind w:firstLine="709"/>
        <w:jc w:val="both"/>
        <w:outlineLvl w:val="0"/>
        <w:rPr>
          <w:color w:val="000000"/>
        </w:rPr>
      </w:pPr>
      <w:r>
        <w:rPr>
          <w:color w:val="000000"/>
        </w:rPr>
        <w:t>- Chi bổ sung có mục tiêu: 63.855 triệu đồng.</w:t>
      </w:r>
    </w:p>
    <w:p w:rsidR="00054F77" w:rsidRDefault="00054F77" w:rsidP="00054F77">
      <w:pPr>
        <w:spacing w:before="120" w:after="120"/>
        <w:ind w:firstLine="709"/>
        <w:jc w:val="both"/>
        <w:outlineLvl w:val="0"/>
        <w:rPr>
          <w:color w:val="000000"/>
        </w:rPr>
      </w:pPr>
      <w:r>
        <w:rPr>
          <w:color w:val="000000"/>
        </w:rPr>
        <w:t>- Các khoản ghi thu, ghi chi qua quản lý ngân sách: 450 triệu đồng.</w:t>
      </w:r>
    </w:p>
    <w:p w:rsidR="00054F77" w:rsidRDefault="00054F77" w:rsidP="00054F77">
      <w:pPr>
        <w:numPr>
          <w:ilvl w:val="0"/>
          <w:numId w:val="1"/>
        </w:numPr>
        <w:tabs>
          <w:tab w:val="left" w:pos="993"/>
        </w:tabs>
        <w:spacing w:before="120" w:after="120"/>
        <w:ind w:left="0" w:firstLine="709"/>
        <w:jc w:val="both"/>
        <w:outlineLvl w:val="0"/>
        <w:rPr>
          <w:b/>
          <w:color w:val="000000"/>
        </w:rPr>
      </w:pPr>
      <w:r>
        <w:rPr>
          <w:b/>
          <w:color w:val="000000"/>
        </w:rPr>
        <w:t>Về nhiệm vụ, giải pháp thực hiện dự toán thu chi ngân sách năm 2018</w:t>
      </w:r>
    </w:p>
    <w:p w:rsidR="00054F77" w:rsidRDefault="00054F77" w:rsidP="00054F77">
      <w:pPr>
        <w:spacing w:before="120" w:after="120"/>
        <w:ind w:firstLine="709"/>
        <w:jc w:val="both"/>
        <w:outlineLvl w:val="0"/>
        <w:rPr>
          <w:color w:val="000000"/>
        </w:rPr>
      </w:pPr>
      <w:r>
        <w:rPr>
          <w:color w:val="000000"/>
        </w:rPr>
        <w:t>Ban Kinh tế - Xã hội cơ bản thống nhất với các nhiệm vụ chi ngân sách năm 2018 của UBND, đồng thời Ban đề nghị UBND huyện triển khai tốt các nhiệm vụ, giải pháp sau:</w:t>
      </w:r>
    </w:p>
    <w:p w:rsidR="00054F77" w:rsidRDefault="00054F77" w:rsidP="00054F77">
      <w:pPr>
        <w:spacing w:before="120" w:after="120"/>
        <w:ind w:firstLine="709"/>
        <w:jc w:val="both"/>
        <w:outlineLvl w:val="0"/>
        <w:rPr>
          <w:i/>
          <w:color w:val="000000"/>
        </w:rPr>
      </w:pPr>
      <w:r>
        <w:rPr>
          <w:i/>
          <w:color w:val="000000"/>
        </w:rPr>
        <w:t>- Về thu ngân sách:</w:t>
      </w:r>
    </w:p>
    <w:p w:rsidR="00054F77" w:rsidRDefault="00054F77" w:rsidP="00054F77">
      <w:pPr>
        <w:spacing w:before="120" w:after="120"/>
        <w:ind w:firstLine="709"/>
        <w:jc w:val="both"/>
        <w:outlineLvl w:val="0"/>
        <w:rPr>
          <w:color w:val="000000"/>
        </w:rPr>
      </w:pPr>
      <w:r>
        <w:rPr>
          <w:color w:val="000000"/>
        </w:rPr>
        <w:t xml:space="preserve">+ Chỉ đạo cơ quan chức năng tiếp tục triển khai thực hiện các biện pháp nhằm xử lý số nợ thuế khó thu; xem xét, kiến nghị với cấp có thẩm quyền về việc xử lý số nợ đọng thuế không có khả năng thu. </w:t>
      </w:r>
    </w:p>
    <w:p w:rsidR="00054F77" w:rsidRDefault="00054F77" w:rsidP="00054F77">
      <w:pPr>
        <w:spacing w:before="120" w:after="120"/>
        <w:ind w:firstLine="709"/>
        <w:jc w:val="both"/>
        <w:outlineLvl w:val="0"/>
        <w:rPr>
          <w:color w:val="000000"/>
        </w:rPr>
      </w:pPr>
      <w:r>
        <w:rPr>
          <w:color w:val="000000"/>
        </w:rPr>
        <w:t>+ Tập trung quản lý tốt hoạt động khai thác tài nguyên khoáng sản trên địa bàn, đảm bảo đúng quy hoạch được cấp thẩm quyền phê duyệt và cấp phép khai thác; tổ chức thu đúng, thu đủ, không bỏ sót nguồn thu từ hoạt động này. Kiên quyết xử lý nghiêm các trường hợp khai thác tài nguyên khoáng sản trái phép, truy thu và xử phạt đúng theo quy định của pháp luật.</w:t>
      </w:r>
    </w:p>
    <w:p w:rsidR="00054F77" w:rsidRDefault="00054F77" w:rsidP="00054F77">
      <w:pPr>
        <w:spacing w:before="120" w:after="120"/>
        <w:ind w:firstLine="709"/>
        <w:jc w:val="both"/>
        <w:rPr>
          <w:color w:val="000000"/>
        </w:rPr>
      </w:pPr>
      <w:r>
        <w:rPr>
          <w:color w:val="000000"/>
        </w:rPr>
        <w:t xml:space="preserve">+ Mặc dù thu ngân sách năm 2017 đạt kết quả tích cực, tuy nhiên các nguồn thu đạt kế hoạch chủ yếu thu từ Doanh nghiệp Nhà nước Trung ương, </w:t>
      </w:r>
      <w:r>
        <w:rPr>
          <w:color w:val="000000"/>
          <w:spacing w:val="-2"/>
        </w:rPr>
        <w:t>c</w:t>
      </w:r>
      <w:r>
        <w:rPr>
          <w:color w:val="000000"/>
          <w:spacing w:val="-2"/>
          <w:lang w:val="am-ET"/>
        </w:rPr>
        <w:t xml:space="preserve">ác khoản thu </w:t>
      </w:r>
      <w:r>
        <w:rPr>
          <w:color w:val="000000"/>
          <w:spacing w:val="-2"/>
        </w:rPr>
        <w:t xml:space="preserve">từ tiền sử dụng </w:t>
      </w:r>
      <w:r>
        <w:rPr>
          <w:color w:val="000000"/>
          <w:spacing w:val="-2"/>
          <w:lang w:val="am-ET"/>
        </w:rPr>
        <w:t>đất</w:t>
      </w:r>
      <w:r>
        <w:rPr>
          <w:color w:val="000000"/>
          <w:spacing w:val="-2"/>
        </w:rPr>
        <w:t xml:space="preserve">. Ban cho rằng, đây là những nguồn thu không bền vững, vì vậy ngành thuế cần nghiên cứu, </w:t>
      </w:r>
      <w:r>
        <w:rPr>
          <w:color w:val="000000"/>
        </w:rPr>
        <w:t>chú trọng nuôi dưỡng và khai thác các nguồn thu tiềm năng, có tính bền vững trên địa bàn.</w:t>
      </w:r>
    </w:p>
    <w:p w:rsidR="00054F77" w:rsidRDefault="00054F77" w:rsidP="00054F77">
      <w:pPr>
        <w:spacing w:before="120" w:after="120"/>
        <w:ind w:firstLine="709"/>
        <w:jc w:val="both"/>
        <w:outlineLvl w:val="0"/>
        <w:rPr>
          <w:color w:val="000000"/>
        </w:rPr>
      </w:pPr>
      <w:r>
        <w:rPr>
          <w:color w:val="000000"/>
        </w:rPr>
        <w:t>- Về chi ngân sách:</w:t>
      </w:r>
    </w:p>
    <w:p w:rsidR="00054F77" w:rsidRDefault="00054F77" w:rsidP="00054F77">
      <w:pPr>
        <w:spacing w:before="120" w:after="120"/>
        <w:ind w:firstLine="709"/>
        <w:jc w:val="both"/>
        <w:outlineLvl w:val="0"/>
        <w:rPr>
          <w:color w:val="000000"/>
        </w:rPr>
      </w:pPr>
      <w:r>
        <w:rPr>
          <w:color w:val="000000"/>
        </w:rPr>
        <w:t>+ Tăng cường và nâng cao chất lượng trong công tác thanh tra, kiểm tra của cơ quan chức năng đối với việc chấp hành dự toán hằng năm của từng đơn vị, địa phương; xem xét chấn chỉnh, xử lý những đơn vị, địa phương để xảy ra sai phạm trong quá trình chấp hành dự toán.</w:t>
      </w:r>
    </w:p>
    <w:p w:rsidR="00054F77" w:rsidRDefault="00054F77" w:rsidP="00054F77">
      <w:pPr>
        <w:spacing w:before="120" w:after="120"/>
        <w:ind w:firstLine="709"/>
        <w:jc w:val="both"/>
        <w:outlineLvl w:val="0"/>
        <w:rPr>
          <w:b/>
          <w:color w:val="000000"/>
          <w:szCs w:val="28"/>
        </w:rPr>
      </w:pPr>
      <w:r>
        <w:rPr>
          <w:color w:val="000000"/>
        </w:rPr>
        <w:t xml:space="preserve">+ Chỉ đạo các cơ quan, đơn vị, địa phương khẩn trương thực hiện các kết luận, kiến nghị của Thanh tra huyện, Thanh tra tỉnh, Kiểm toán nhà nước …theo đúng quy định. </w:t>
      </w:r>
    </w:p>
    <w:p w:rsidR="00054F77" w:rsidRDefault="00054F77" w:rsidP="00054F77">
      <w:pPr>
        <w:spacing w:before="120" w:after="120"/>
        <w:ind w:firstLine="709"/>
        <w:jc w:val="both"/>
        <w:rPr>
          <w:b/>
          <w:color w:val="000000"/>
        </w:rPr>
      </w:pPr>
      <w:r>
        <w:rPr>
          <w:b/>
          <w:color w:val="000000"/>
          <w:szCs w:val="28"/>
        </w:rPr>
        <w:t>*</w:t>
      </w:r>
      <w:r>
        <w:rPr>
          <w:b/>
          <w:color w:val="000000"/>
        </w:rPr>
        <w:t xml:space="preserve"> Ý kiến của Ban Kinh tế - Xã hội:</w:t>
      </w:r>
    </w:p>
    <w:p w:rsidR="00054F77" w:rsidRDefault="00054F77" w:rsidP="00054F77">
      <w:pPr>
        <w:spacing w:before="120" w:after="120"/>
        <w:ind w:firstLine="709"/>
        <w:jc w:val="both"/>
        <w:outlineLvl w:val="0"/>
        <w:rPr>
          <w:color w:val="000000"/>
        </w:rPr>
      </w:pPr>
      <w:r>
        <w:rPr>
          <w:color w:val="000000"/>
        </w:rPr>
        <w:lastRenderedPageBreak/>
        <w:t xml:space="preserve">Nội dung dự thảo nghị quyết phù hợp với đường lối, chủ trương của Đảng, chính sách của Nhà nước hiện hành; Luật Ngân sách nhà nước năm 2015; Luật Đầu tư công năm 2014; Các </w:t>
      </w:r>
      <w:r>
        <w:rPr>
          <w:color w:val="000000"/>
          <w:lang w:val="nb-NO"/>
        </w:rPr>
        <w:t>Thông tư, hướng dẫn hiện hành</w:t>
      </w:r>
      <w:r>
        <w:rPr>
          <w:color w:val="000000"/>
        </w:rPr>
        <w:t xml:space="preserve">; Các chỉ tiêu dự toán thu, chi và phương án phân bổ ngân sách đã bám sát với kế hoạch giao chỉ tiêu của HĐND, UBND tỉnh và kết quả triển khai thực hiện nhiệm vụ kinh tế - xã hội năm 2017 của huyện. </w:t>
      </w:r>
    </w:p>
    <w:p w:rsidR="00054F77" w:rsidRDefault="00054F77" w:rsidP="00054F77">
      <w:pPr>
        <w:spacing w:before="120" w:after="120"/>
        <w:ind w:firstLine="709"/>
        <w:jc w:val="both"/>
        <w:outlineLvl w:val="0"/>
        <w:rPr>
          <w:color w:val="000000"/>
        </w:rPr>
      </w:pPr>
      <w:r>
        <w:rPr>
          <w:color w:val="000000"/>
        </w:rPr>
        <w:t>Ban Kinh tế - Xã hội cơ bản thống nhất với dự toán ngân sách và phương án phân bổ ngân sách như đề nghị của UBND huyện trình HĐND huyện tại kỳ họp thứ 5. Tuy nhiên, Ban có một số ý kiến sau:</w:t>
      </w:r>
    </w:p>
    <w:p w:rsidR="00054F77" w:rsidRDefault="00054F77" w:rsidP="00054F77">
      <w:pPr>
        <w:spacing w:before="120" w:after="120"/>
        <w:ind w:firstLine="709"/>
        <w:jc w:val="both"/>
        <w:outlineLvl w:val="0"/>
        <w:rPr>
          <w:color w:val="000000"/>
        </w:rPr>
      </w:pPr>
      <w:r>
        <w:rPr>
          <w:color w:val="000000"/>
        </w:rPr>
        <w:t>- Đối với phương án phân bổ ngân sách 2018</w:t>
      </w:r>
    </w:p>
    <w:p w:rsidR="00054F77" w:rsidRDefault="00054F77" w:rsidP="00054F77">
      <w:pPr>
        <w:spacing w:before="120" w:after="120"/>
        <w:ind w:firstLine="709"/>
        <w:jc w:val="both"/>
        <w:outlineLvl w:val="0"/>
        <w:rPr>
          <w:iCs/>
          <w:color w:val="000000"/>
          <w:szCs w:val="28"/>
          <w:shd w:val="clear" w:color="auto" w:fill="FFFFFF"/>
        </w:rPr>
      </w:pPr>
      <w:r>
        <w:rPr>
          <w:color w:val="000000"/>
        </w:rPr>
        <w:t xml:space="preserve">+ Mục 4.9 chi khác ngân sách huyện có phân bổ 500 triệu đồng chi ủy thác vay hộ nghèo, cận nghèo: Đề nghị UBND huyện làm rõ đã phù hợp với Nghị định 78/2002/NĐ-CP ngày 04/10/2002 của Chính phủ về tín dụng đối với người nghèo và các đối tượng chính sách khác và Thông tư 11/2017/TT-BTC ngày 8/2/2017 của Bộ Tài chính </w:t>
      </w:r>
      <w:r>
        <w:rPr>
          <w:iCs/>
          <w:color w:val="000000"/>
          <w:szCs w:val="28"/>
          <w:shd w:val="clear" w:color="auto" w:fill="FFFFFF"/>
          <w:lang w:val="vi-VN"/>
        </w:rPr>
        <w:t>quy định về quản lý và sử dụng nguồn vốn ngân sách địa phương ủy thác qua Ngân hàng Chính sách xã hội để cho vay đối với người nghèo và các đ</w:t>
      </w:r>
      <w:r>
        <w:rPr>
          <w:iCs/>
          <w:color w:val="000000"/>
          <w:szCs w:val="28"/>
          <w:shd w:val="clear" w:color="auto" w:fill="FFFFFF"/>
        </w:rPr>
        <w:t>ố</w:t>
      </w:r>
      <w:r>
        <w:rPr>
          <w:iCs/>
          <w:color w:val="000000"/>
          <w:szCs w:val="28"/>
          <w:shd w:val="clear" w:color="auto" w:fill="FFFFFF"/>
          <w:lang w:val="vi-VN"/>
        </w:rPr>
        <w:t>i tượng chính sách khác</w:t>
      </w:r>
      <w:r>
        <w:rPr>
          <w:iCs/>
          <w:color w:val="000000"/>
          <w:szCs w:val="28"/>
          <w:shd w:val="clear" w:color="auto" w:fill="FFFFFF"/>
        </w:rPr>
        <w:t xml:space="preserve"> không</w:t>
      </w:r>
      <w:r>
        <w:rPr>
          <w:iCs/>
          <w:color w:val="000000"/>
          <w:szCs w:val="28"/>
          <w:shd w:val="clear" w:color="auto" w:fill="FFFFFF"/>
          <w:lang w:val="vi-VN"/>
        </w:rPr>
        <w:t>.</w:t>
      </w:r>
    </w:p>
    <w:p w:rsidR="00054F77" w:rsidRDefault="00054F77" w:rsidP="00054F77">
      <w:pPr>
        <w:spacing w:before="120" w:after="120"/>
        <w:ind w:firstLine="709"/>
        <w:jc w:val="both"/>
        <w:outlineLvl w:val="0"/>
        <w:rPr>
          <w:iCs/>
          <w:color w:val="000000"/>
          <w:szCs w:val="28"/>
          <w:shd w:val="clear" w:color="auto" w:fill="FFFFFF"/>
        </w:rPr>
      </w:pPr>
      <w:r>
        <w:rPr>
          <w:iCs/>
          <w:color w:val="000000"/>
          <w:szCs w:val="28"/>
          <w:shd w:val="clear" w:color="auto" w:fill="FFFFFF"/>
        </w:rPr>
        <w:t>+ Đối với nguồn chi sự nghiệp môi trường có khoản chi cấp bù kinh phí chi trả dịch vụ thu gom rác thải. Đề nghị UBND huyện làm rõ có hợp lý không trong khi phí thu gom vận chuyển rác thải đã có quy định chuyển sang thực hiện dịch vụ về giá…</w:t>
      </w:r>
    </w:p>
    <w:p w:rsidR="00054F77" w:rsidRDefault="00054F77" w:rsidP="00054F77">
      <w:pPr>
        <w:spacing w:before="120" w:after="120"/>
        <w:ind w:firstLine="709"/>
        <w:jc w:val="both"/>
        <w:outlineLvl w:val="0"/>
        <w:rPr>
          <w:color w:val="auto"/>
          <w:szCs w:val="28"/>
        </w:rPr>
      </w:pPr>
      <w:r>
        <w:rPr>
          <w:iCs/>
          <w:color w:val="auto"/>
          <w:szCs w:val="28"/>
          <w:shd w:val="clear" w:color="auto" w:fill="FFFFFF"/>
        </w:rPr>
        <w:t>+ Đối với nhiệm vụ chi cho hoạt động của bộ máy Ban QL Đầu tư xây dựng huyện. Đề nghị UBND huyện làm rõ có phù hợp không, được quy định tại các văn bản nào trong khi đơn vị này là một đơn vị sự nghiệp công lập có thu.</w:t>
      </w:r>
    </w:p>
    <w:p w:rsidR="00054F77" w:rsidRDefault="00054F77" w:rsidP="00054F77">
      <w:pPr>
        <w:spacing w:before="120" w:after="120"/>
        <w:ind w:firstLine="709"/>
        <w:jc w:val="both"/>
        <w:rPr>
          <w:color w:val="auto"/>
          <w:szCs w:val="26"/>
        </w:rPr>
      </w:pPr>
      <w:r>
        <w:rPr>
          <w:color w:val="auto"/>
        </w:rPr>
        <w:t>- Đối với dự thảo Nghị quyết</w:t>
      </w:r>
    </w:p>
    <w:p w:rsidR="00054F77" w:rsidRDefault="00054F77" w:rsidP="00054F77">
      <w:pPr>
        <w:spacing w:before="120" w:after="120"/>
        <w:ind w:firstLine="709"/>
        <w:jc w:val="both"/>
        <w:rPr>
          <w:color w:val="auto"/>
        </w:rPr>
      </w:pPr>
      <w:r>
        <w:rPr>
          <w:color w:val="auto"/>
        </w:rPr>
        <w:t>+ Đây là văn bản thường, không phải văn bản quy phạm pháp luật, đề nghị cơ quan soạn thảo không quy định thời gian nghị quyết có hiệu lực.</w:t>
      </w:r>
    </w:p>
    <w:p w:rsidR="00054F77" w:rsidRDefault="00054F77" w:rsidP="00054F77">
      <w:pPr>
        <w:spacing w:before="120" w:after="120"/>
        <w:ind w:firstLine="709"/>
        <w:jc w:val="both"/>
        <w:rPr>
          <w:color w:val="auto"/>
        </w:rPr>
      </w:pPr>
      <w:r>
        <w:rPr>
          <w:color w:val="auto"/>
        </w:rPr>
        <w:t>- Đề nghị Ủy ban nhân dân huyện tiếp thu, giải trình các nội dung trong báo cáo thẩm tra này và ý kiến thảo luận của đại biểu Hội đồng nhân dân huyện về phương án phân bổ dự toán thu, chi ngân sách năm 2018. Chậm nhất 05 ngày làm việc kể từ ngày HĐND huyện quyết định dự toán ngân sách, UBND huyện giao dự toán ngân sách năm sau cho các đơn vị, các xã, thị trấn. Đồng thời chỉ đạo các cơ quan, UBND các xã, thị trấn chậm nhất ngày 31/12/2017 phải hoàn thành việc giao dự toán ngân sách.</w:t>
      </w:r>
    </w:p>
    <w:p w:rsidR="00054F77" w:rsidRDefault="00054F77" w:rsidP="00054F77">
      <w:pPr>
        <w:spacing w:before="120" w:after="120"/>
        <w:ind w:firstLine="709"/>
        <w:jc w:val="both"/>
        <w:rPr>
          <w:color w:val="auto"/>
        </w:rPr>
      </w:pPr>
      <w:r>
        <w:rPr>
          <w:color w:val="auto"/>
          <w:lang w:val="nl-NL"/>
        </w:rPr>
        <w:tab/>
      </w:r>
      <w:r>
        <w:rPr>
          <w:color w:val="auto"/>
        </w:rPr>
        <w:t>Trình Hội đồng nhân dân huyện khóa X, kỳ họp thứ 5 xem xét, quyết định./.</w:t>
      </w:r>
    </w:p>
    <w:tbl>
      <w:tblPr>
        <w:tblW w:w="4945" w:type="pct"/>
        <w:tblInd w:w="108" w:type="dxa"/>
        <w:tblLook w:val="01E0"/>
      </w:tblPr>
      <w:tblGrid>
        <w:gridCol w:w="4089"/>
        <w:gridCol w:w="5377"/>
      </w:tblGrid>
      <w:tr w:rsidR="00054F77" w:rsidTr="004E3FBB">
        <w:tc>
          <w:tcPr>
            <w:tcW w:w="2160" w:type="pct"/>
            <w:hideMark/>
          </w:tcPr>
          <w:p w:rsidR="00054F77" w:rsidRDefault="00054F77" w:rsidP="004E3FBB">
            <w:pPr>
              <w:spacing w:before="60"/>
              <w:ind w:right="-514"/>
              <w:jc w:val="both"/>
              <w:rPr>
                <w:b/>
                <w:i/>
                <w:color w:val="auto"/>
                <w:sz w:val="24"/>
                <w:szCs w:val="26"/>
              </w:rPr>
            </w:pPr>
            <w:r>
              <w:rPr>
                <w:b/>
                <w:i/>
                <w:color w:val="auto"/>
                <w:sz w:val="24"/>
              </w:rPr>
              <w:t>Nơi nhận:</w:t>
            </w:r>
          </w:p>
          <w:p w:rsidR="00054F77" w:rsidRDefault="00054F77" w:rsidP="004E3FBB">
            <w:pPr>
              <w:ind w:right="-514"/>
              <w:jc w:val="both"/>
              <w:rPr>
                <w:color w:val="auto"/>
                <w:sz w:val="22"/>
              </w:rPr>
            </w:pPr>
            <w:r>
              <w:rPr>
                <w:color w:val="auto"/>
                <w:sz w:val="22"/>
              </w:rPr>
              <w:t>- Thường trực HĐND huyện;</w:t>
            </w:r>
          </w:p>
          <w:p w:rsidR="00054F77" w:rsidRDefault="00054F77" w:rsidP="004E3FBB">
            <w:pPr>
              <w:ind w:right="-514"/>
              <w:jc w:val="both"/>
              <w:rPr>
                <w:color w:val="auto"/>
                <w:sz w:val="22"/>
              </w:rPr>
            </w:pPr>
            <w:r>
              <w:rPr>
                <w:color w:val="auto"/>
                <w:sz w:val="22"/>
              </w:rPr>
              <w:t>- Đại biểu HĐND huyện;</w:t>
            </w:r>
          </w:p>
          <w:p w:rsidR="00054F77" w:rsidRDefault="00054F77" w:rsidP="004E3FBB">
            <w:pPr>
              <w:ind w:right="-514"/>
              <w:jc w:val="both"/>
              <w:rPr>
                <w:color w:val="auto"/>
                <w:szCs w:val="26"/>
              </w:rPr>
            </w:pPr>
            <w:r>
              <w:rPr>
                <w:color w:val="auto"/>
                <w:sz w:val="22"/>
              </w:rPr>
              <w:t>- Lưu: VT, KT-XH</w:t>
            </w:r>
            <w:r>
              <w:rPr>
                <w:color w:val="auto"/>
                <w:sz w:val="14"/>
              </w:rPr>
              <w:t>.</w:t>
            </w:r>
          </w:p>
        </w:tc>
        <w:tc>
          <w:tcPr>
            <w:tcW w:w="2840" w:type="pct"/>
          </w:tcPr>
          <w:p w:rsidR="00054F77" w:rsidRDefault="00054F77" w:rsidP="004E3FBB">
            <w:pPr>
              <w:spacing w:before="60"/>
              <w:ind w:right="-514" w:hanging="114"/>
              <w:jc w:val="center"/>
              <w:rPr>
                <w:b/>
                <w:color w:val="auto"/>
                <w:szCs w:val="26"/>
              </w:rPr>
            </w:pPr>
            <w:r>
              <w:rPr>
                <w:b/>
                <w:color w:val="auto"/>
              </w:rPr>
              <w:t xml:space="preserve">TM. BAN KINH TẾ </w:t>
            </w:r>
            <w:r>
              <w:rPr>
                <w:color w:val="auto"/>
              </w:rPr>
              <w:t>-</w:t>
            </w:r>
            <w:r>
              <w:rPr>
                <w:b/>
                <w:color w:val="auto"/>
              </w:rPr>
              <w:t xml:space="preserve"> XÃ HỘI</w:t>
            </w:r>
          </w:p>
          <w:p w:rsidR="00054F77" w:rsidRDefault="00054F77" w:rsidP="004E3FBB">
            <w:pPr>
              <w:ind w:right="-514"/>
              <w:jc w:val="center"/>
              <w:rPr>
                <w:b/>
                <w:color w:val="auto"/>
              </w:rPr>
            </w:pPr>
            <w:r>
              <w:rPr>
                <w:b/>
                <w:color w:val="auto"/>
              </w:rPr>
              <w:t>KT. TRƯỞNG BAN</w:t>
            </w:r>
          </w:p>
          <w:p w:rsidR="00054F77" w:rsidRDefault="00054F77" w:rsidP="004E3FBB">
            <w:pPr>
              <w:ind w:right="-514"/>
              <w:jc w:val="center"/>
              <w:rPr>
                <w:b/>
                <w:color w:val="auto"/>
              </w:rPr>
            </w:pPr>
            <w:r>
              <w:rPr>
                <w:b/>
                <w:color w:val="auto"/>
              </w:rPr>
              <w:t>PHÓ TRƯỞNG BAN</w:t>
            </w:r>
          </w:p>
          <w:p w:rsidR="00054F77" w:rsidRDefault="00054F77" w:rsidP="004E3FBB">
            <w:pPr>
              <w:ind w:right="-514"/>
              <w:jc w:val="center"/>
              <w:rPr>
                <w:b/>
                <w:color w:val="auto"/>
              </w:rPr>
            </w:pPr>
            <w:r>
              <w:rPr>
                <w:b/>
                <w:color w:val="auto"/>
              </w:rPr>
              <w:t>(Đã ký)</w:t>
            </w:r>
          </w:p>
          <w:p w:rsidR="00054F77" w:rsidRDefault="00054F77" w:rsidP="004E3FBB">
            <w:pPr>
              <w:ind w:right="-514"/>
              <w:jc w:val="center"/>
              <w:rPr>
                <w:b/>
                <w:color w:val="auto"/>
              </w:rPr>
            </w:pPr>
          </w:p>
          <w:p w:rsidR="00054F77" w:rsidRDefault="00054F77" w:rsidP="004E3FBB">
            <w:pPr>
              <w:ind w:right="-514"/>
              <w:jc w:val="center"/>
              <w:rPr>
                <w:b/>
                <w:color w:val="auto"/>
                <w:sz w:val="26"/>
                <w:szCs w:val="26"/>
              </w:rPr>
            </w:pPr>
            <w:r>
              <w:rPr>
                <w:b/>
                <w:color w:val="auto"/>
              </w:rPr>
              <w:t>Đinh Trọng Lịch</w:t>
            </w:r>
          </w:p>
        </w:tc>
      </w:tr>
    </w:tbl>
    <w:p w:rsidR="00054F77" w:rsidRDefault="00054F77" w:rsidP="00054F77">
      <w:r>
        <w:lastRenderedPageBreak/>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B1" w:rsidRDefault="00DC49B1" w:rsidP="00054F77">
      <w:r>
        <w:separator/>
      </w:r>
    </w:p>
  </w:endnote>
  <w:endnote w:type="continuationSeparator" w:id="1">
    <w:p w:rsidR="00DC49B1" w:rsidRDefault="00DC49B1" w:rsidP="0005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B1" w:rsidRDefault="00DC49B1" w:rsidP="00054F77">
      <w:r>
        <w:separator/>
      </w:r>
    </w:p>
  </w:footnote>
  <w:footnote w:type="continuationSeparator" w:id="1">
    <w:p w:rsidR="00DC49B1" w:rsidRDefault="00DC49B1" w:rsidP="00054F77">
      <w:r>
        <w:continuationSeparator/>
      </w:r>
    </w:p>
  </w:footnote>
  <w:footnote w:id="2">
    <w:p w:rsidR="00054F77" w:rsidRDefault="00054F77" w:rsidP="00054F77">
      <w:pPr>
        <w:pStyle w:val="FootnoteText"/>
        <w:ind w:firstLine="567"/>
        <w:jc w:val="both"/>
        <w:rPr>
          <w:color w:val="000000"/>
          <w:lang w:val="am-ET"/>
        </w:rPr>
      </w:pPr>
      <w:r>
        <w:rPr>
          <w:color w:val="000000"/>
          <w:vertAlign w:val="superscript"/>
          <w:lang w:val="am-ET"/>
        </w:rPr>
        <w:t>(</w:t>
      </w:r>
      <w:r>
        <w:rPr>
          <w:rStyle w:val="FootnoteReference"/>
          <w:color w:val="000000"/>
        </w:rPr>
        <w:footnoteRef/>
      </w:r>
      <w:r>
        <w:rPr>
          <w:color w:val="000000"/>
          <w:vertAlign w:val="superscript"/>
          <w:lang w:val="am-ET"/>
        </w:rPr>
        <w:t>)</w:t>
      </w:r>
      <w:r>
        <w:rPr>
          <w:color w:val="000000"/>
          <w:lang w:val="am-ET"/>
        </w:rPr>
        <w:t xml:space="preserve"> Trong đó: Tăng nguồn thu tiền sử dụng đất </w:t>
      </w:r>
      <w:r>
        <w:rPr>
          <w:color w:val="000000"/>
        </w:rPr>
        <w:t>3.087</w:t>
      </w:r>
      <w:r>
        <w:rPr>
          <w:color w:val="000000"/>
          <w:lang w:val="am-ET"/>
        </w:rPr>
        <w:t xml:space="preserve"> triệu đồng,</w:t>
      </w:r>
      <w:r>
        <w:rPr>
          <w:color w:val="000000"/>
        </w:rPr>
        <w:t xml:space="preserve"> thu từ khu vực kinh tế ngoài quốc doanh 2.290 triệu đồng…</w:t>
      </w:r>
      <w:r>
        <w:rPr>
          <w:color w:val="000000"/>
          <w:lang w:val="am-E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54F77"/>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54F77"/>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49B1"/>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77"/>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54F77"/>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4F77"/>
    <w:rPr>
      <w:rFonts w:eastAsia="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054F77"/>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54F77"/>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54F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5801</Characters>
  <Application>Microsoft Office Word</Application>
  <DocSecurity>0</DocSecurity>
  <Lines>48</Lines>
  <Paragraphs>13</Paragraphs>
  <ScaleCrop>false</ScaleCrop>
  <Company>Sky123.Org</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2018-05-27T10:49:00Z</dcterms:created>
  <dcterms:modified xsi:type="dcterms:W3CDTF">2018-05-27T10:49:00Z</dcterms:modified>
</cp:coreProperties>
</file>