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5"/>
        <w:gridCol w:w="5984"/>
      </w:tblGrid>
      <w:tr w:rsidR="00064EE2" w:rsidRPr="00B456F4" w:rsidTr="004E3FBB">
        <w:trPr>
          <w:trHeight w:hRule="exact" w:val="995"/>
        </w:trPr>
        <w:tc>
          <w:tcPr>
            <w:tcW w:w="1830" w:type="pct"/>
            <w:tcBorders>
              <w:top w:val="nil"/>
              <w:left w:val="nil"/>
              <w:bottom w:val="nil"/>
              <w:right w:val="nil"/>
            </w:tcBorders>
            <w:shd w:val="clear" w:color="auto" w:fill="auto"/>
          </w:tcPr>
          <w:p w:rsidR="00064EE2" w:rsidRPr="00B456F4" w:rsidRDefault="00064EE2" w:rsidP="004E3FBB">
            <w:pPr>
              <w:pStyle w:val="Heading2"/>
              <w:rPr>
                <w:b/>
                <w:i w:val="0"/>
                <w:sz w:val="26"/>
                <w:szCs w:val="26"/>
              </w:rPr>
            </w:pPr>
            <w:r w:rsidRPr="00B456F4">
              <w:rPr>
                <w:b/>
                <w:i w:val="0"/>
                <w:sz w:val="26"/>
                <w:szCs w:val="26"/>
              </w:rPr>
              <w:t>HỘI ĐỒNG NHÂN DÂN</w:t>
            </w:r>
          </w:p>
          <w:p w:rsidR="00064EE2" w:rsidRPr="00B456F4" w:rsidRDefault="00064EE2" w:rsidP="004E3FBB">
            <w:pPr>
              <w:jc w:val="center"/>
              <w:rPr>
                <w:b/>
                <w:color w:val="auto"/>
                <w:sz w:val="26"/>
                <w:szCs w:val="26"/>
              </w:rPr>
            </w:pPr>
            <w:r w:rsidRPr="00942320">
              <w:rPr>
                <w:noProof/>
                <w:color w:val="auto"/>
                <w:sz w:val="26"/>
                <w:szCs w:val="26"/>
              </w:rPr>
              <w:pict>
                <v:line id="Straight Connector 2" o:spid="_x0000_s1027" style="position:absolute;left:0;text-align:left;z-index:251661312;visibility:visible" from="58.45pt,17.75pt" to="105.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" strokecolor="navy"/>
              </w:pict>
            </w:r>
            <w:r w:rsidRPr="00B456F4">
              <w:rPr>
                <w:b/>
                <w:color w:val="auto"/>
                <w:sz w:val="26"/>
                <w:szCs w:val="26"/>
              </w:rPr>
              <w:t>HUYỆN SA THẦY</w:t>
            </w:r>
          </w:p>
        </w:tc>
        <w:tc>
          <w:tcPr>
            <w:tcW w:w="3170" w:type="pct"/>
            <w:tcBorders>
              <w:top w:val="nil"/>
              <w:left w:val="nil"/>
              <w:bottom w:val="nil"/>
              <w:right w:val="nil"/>
            </w:tcBorders>
            <w:shd w:val="clear" w:color="auto" w:fill="auto"/>
          </w:tcPr>
          <w:p w:rsidR="00064EE2" w:rsidRPr="00B456F4" w:rsidRDefault="00064EE2" w:rsidP="004E3FBB">
            <w:pPr>
              <w:jc w:val="center"/>
              <w:rPr>
                <w:b/>
                <w:color w:val="auto"/>
                <w:sz w:val="26"/>
                <w:szCs w:val="26"/>
              </w:rPr>
            </w:pPr>
            <w:r w:rsidRPr="00B456F4">
              <w:rPr>
                <w:b/>
                <w:color w:val="auto"/>
                <w:sz w:val="26"/>
                <w:szCs w:val="26"/>
              </w:rPr>
              <w:t>CỘNG HÒA XÃ HỘI CHỦ NGHĨA VIỆT NAM</w:t>
            </w:r>
          </w:p>
          <w:p w:rsidR="00064EE2" w:rsidRPr="00B456F4" w:rsidRDefault="00064EE2" w:rsidP="004E3FBB">
            <w:pPr>
              <w:jc w:val="center"/>
              <w:rPr>
                <w:b/>
                <w:color w:val="auto"/>
                <w:szCs w:val="28"/>
              </w:rPr>
            </w:pPr>
            <w:r w:rsidRPr="00942320">
              <w:rPr>
                <w:noProof/>
                <w:color w:val="auto"/>
                <w:szCs w:val="28"/>
              </w:rPr>
              <w:pict>
                <v:line id="_x0000_s1028" style="position:absolute;left:0;text-align:left;z-index:251662336;visibility:visible" from="65.2pt,17.75pt" to="235.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Md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"/>
              </w:pict>
            </w:r>
            <w:r w:rsidRPr="00B456F4">
              <w:rPr>
                <w:b/>
                <w:color w:val="auto"/>
                <w:szCs w:val="28"/>
              </w:rPr>
              <w:t>Độc lập - Tự do - Hạnh phúc</w:t>
            </w:r>
          </w:p>
        </w:tc>
      </w:tr>
      <w:tr w:rsidR="00064EE2" w:rsidRPr="00B456F4" w:rsidTr="004E3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5"/>
        </w:trPr>
        <w:tc>
          <w:tcPr>
            <w:tcW w:w="1830" w:type="pct"/>
            <w:shd w:val="clear" w:color="auto" w:fill="auto"/>
          </w:tcPr>
          <w:p w:rsidR="00064EE2" w:rsidRPr="00B456F4" w:rsidRDefault="00064EE2" w:rsidP="004E3FBB">
            <w:pPr>
              <w:jc w:val="center"/>
              <w:rPr>
                <w:color w:val="auto"/>
                <w:sz w:val="26"/>
                <w:szCs w:val="26"/>
              </w:rPr>
            </w:pPr>
            <w:r w:rsidRPr="00B456F4">
              <w:rPr>
                <w:color w:val="auto"/>
                <w:sz w:val="26"/>
                <w:szCs w:val="26"/>
              </w:rPr>
              <w:t>Số: 91/BC-HĐND</w:t>
            </w:r>
          </w:p>
        </w:tc>
        <w:tc>
          <w:tcPr>
            <w:tcW w:w="3170" w:type="pct"/>
            <w:shd w:val="clear" w:color="auto" w:fill="auto"/>
          </w:tcPr>
          <w:p w:rsidR="00064EE2" w:rsidRPr="00B456F4" w:rsidRDefault="00064EE2" w:rsidP="004E3FBB">
            <w:pPr>
              <w:jc w:val="center"/>
              <w:rPr>
                <w:i/>
                <w:color w:val="auto"/>
                <w:szCs w:val="28"/>
              </w:rPr>
            </w:pPr>
            <w:r w:rsidRPr="00B456F4">
              <w:rPr>
                <w:i/>
                <w:color w:val="auto"/>
                <w:szCs w:val="28"/>
              </w:rPr>
              <w:t>Sa Thầy, ngày 12 tháng 12 năm 2017</w:t>
            </w:r>
          </w:p>
          <w:p w:rsidR="00064EE2" w:rsidRPr="00B456F4" w:rsidRDefault="00064EE2" w:rsidP="004E3FBB">
            <w:pPr>
              <w:ind w:left="720"/>
              <w:jc w:val="center"/>
              <w:rPr>
                <w:i/>
                <w:color w:val="auto"/>
                <w:sz w:val="26"/>
                <w:szCs w:val="26"/>
              </w:rPr>
            </w:pPr>
          </w:p>
        </w:tc>
      </w:tr>
    </w:tbl>
    <w:p w:rsidR="00064EE2" w:rsidRPr="007C6AF6" w:rsidRDefault="00064EE2" w:rsidP="00064EE2">
      <w:pPr>
        <w:spacing w:before="120" w:after="120"/>
        <w:jc w:val="center"/>
        <w:rPr>
          <w:b/>
          <w:color w:val="auto"/>
          <w:szCs w:val="28"/>
        </w:rPr>
      </w:pPr>
    </w:p>
    <w:p w:rsidR="00064EE2" w:rsidRPr="007C6AF6" w:rsidRDefault="00064EE2" w:rsidP="00064EE2">
      <w:pPr>
        <w:jc w:val="center"/>
        <w:rPr>
          <w:b/>
          <w:color w:val="auto"/>
          <w:szCs w:val="28"/>
        </w:rPr>
      </w:pPr>
      <w:r w:rsidRPr="007C6AF6">
        <w:rPr>
          <w:b/>
          <w:color w:val="auto"/>
          <w:szCs w:val="28"/>
        </w:rPr>
        <w:t>BÁO CÁO THẨM TRA</w:t>
      </w:r>
    </w:p>
    <w:p w:rsidR="00064EE2" w:rsidRPr="007C6AF6" w:rsidRDefault="00064EE2" w:rsidP="00064EE2">
      <w:pPr>
        <w:jc w:val="center"/>
        <w:rPr>
          <w:b/>
          <w:color w:val="auto"/>
          <w:szCs w:val="28"/>
        </w:rPr>
      </w:pPr>
      <w:r w:rsidRPr="007C6AF6">
        <w:rPr>
          <w:b/>
          <w:color w:val="auto"/>
          <w:szCs w:val="28"/>
        </w:rPr>
        <w:t>Về tình hình thực hiện dự toán thu, chi ngân sách năm 2017</w:t>
      </w:r>
    </w:p>
    <w:p w:rsidR="00064EE2" w:rsidRPr="007C6AF6" w:rsidRDefault="00064EE2" w:rsidP="00064EE2">
      <w:pPr>
        <w:spacing w:before="120" w:after="120"/>
        <w:jc w:val="center"/>
        <w:rPr>
          <w:b/>
          <w:color w:val="auto"/>
          <w:szCs w:val="28"/>
        </w:rPr>
      </w:pPr>
      <w:r w:rsidRPr="00942320">
        <w:rPr>
          <w:color w:val="auto"/>
          <w:szCs w:val="28"/>
        </w:rPr>
        <w:pict>
          <v:line id="_x0000_s1026" style="position:absolute;left:0;text-align:left;z-index:251660288" from="211.1pt,2.4pt" to="245.9pt,2.4pt" strokeweight="1pt"/>
        </w:pict>
      </w:r>
    </w:p>
    <w:p w:rsidR="00064EE2" w:rsidRPr="007C6AF6" w:rsidRDefault="00064EE2" w:rsidP="00064EE2">
      <w:pPr>
        <w:spacing w:before="120" w:after="120"/>
        <w:jc w:val="both"/>
        <w:outlineLvl w:val="0"/>
        <w:rPr>
          <w:color w:val="auto"/>
          <w:szCs w:val="28"/>
        </w:rPr>
      </w:pPr>
      <w:r w:rsidRPr="007C6AF6">
        <w:rPr>
          <w:color w:val="auto"/>
          <w:szCs w:val="28"/>
        </w:rPr>
        <w:tab/>
        <w:t>Thực hiện chỉ đạo của Thường trực HĐND huyện về việc thẩm tra các nội dung trình kỳ họp thứ 5, HĐND huyện khóa X. Ban Kinh tế - Xã hội đã họp thẩm tra báo cáo của Ủy ban nhân dân huyện về tình hình thực hiện dự toán thu, chi ngân sách năm 2017. Tham dự cuộc họp có Thường trực HĐND huyện, đại diện các Ban của Hội đồng nhân dân huyện, đại diện các phòng, ban có liên quan.</w:t>
      </w:r>
    </w:p>
    <w:p w:rsidR="00064EE2" w:rsidRPr="007C6AF6" w:rsidRDefault="00064EE2" w:rsidP="00064EE2">
      <w:pPr>
        <w:spacing w:before="120" w:after="120"/>
        <w:jc w:val="both"/>
        <w:rPr>
          <w:color w:val="auto"/>
          <w:szCs w:val="28"/>
        </w:rPr>
      </w:pPr>
      <w:r w:rsidRPr="007C6AF6">
        <w:rPr>
          <w:color w:val="auto"/>
          <w:szCs w:val="28"/>
        </w:rPr>
        <w:tab/>
        <w:t>Căn cứ Luật Ngân sách nhà nước năm 2015, các hướng dẫn của Bộ, cơ quan liên ngành, Nghị quyết của Hội đồng nhân dân huyện về dự toán thu, chi ngân sách địa phương và phương án phân bổ ngân sách năm 2017, Ban Kinh tế - Xã hội xin báo cáo Hội đồng nhân dân huyện một số nội dung sau:</w:t>
      </w:r>
    </w:p>
    <w:p w:rsidR="00064EE2" w:rsidRPr="007C6AF6" w:rsidRDefault="00064EE2" w:rsidP="00064EE2">
      <w:pPr>
        <w:spacing w:before="120" w:after="120"/>
        <w:ind w:firstLine="709"/>
        <w:jc w:val="both"/>
        <w:rPr>
          <w:color w:val="auto"/>
          <w:szCs w:val="28"/>
        </w:rPr>
      </w:pPr>
      <w:r w:rsidRPr="007C6AF6">
        <w:rPr>
          <w:b/>
          <w:color w:val="auto"/>
          <w:szCs w:val="28"/>
        </w:rPr>
        <w:t>1.</w:t>
      </w:r>
      <w:r w:rsidRPr="007C6AF6">
        <w:rPr>
          <w:color w:val="auto"/>
          <w:szCs w:val="28"/>
        </w:rPr>
        <w:t xml:space="preserve"> </w:t>
      </w:r>
      <w:r w:rsidRPr="007C6AF6">
        <w:rPr>
          <w:b/>
          <w:color w:val="auto"/>
          <w:szCs w:val="28"/>
        </w:rPr>
        <w:t>Về thực hiện thu ngân sách năm 2017</w:t>
      </w:r>
    </w:p>
    <w:p w:rsidR="00064EE2" w:rsidRPr="007C6AF6" w:rsidRDefault="00064EE2" w:rsidP="00064EE2">
      <w:pPr>
        <w:spacing w:before="120" w:after="120"/>
        <w:ind w:firstLine="720"/>
        <w:jc w:val="both"/>
        <w:outlineLvl w:val="0"/>
        <w:rPr>
          <w:color w:val="auto"/>
          <w:szCs w:val="28"/>
        </w:rPr>
      </w:pPr>
      <w:r w:rsidRPr="007C6AF6">
        <w:rPr>
          <w:color w:val="auto"/>
          <w:szCs w:val="28"/>
        </w:rPr>
        <w:t>Dự toán tổng thu ngân sách địa bàn năm 2017 HĐND huyện giao 60.487 triệu đồng, trong đó giao Chi cục Thuế thu 25.737 triệu đồng. Vượt kế hoạch tỉnh giao là 5.607 triệu đồng.</w:t>
      </w:r>
    </w:p>
    <w:p w:rsidR="00064EE2" w:rsidRPr="007C6AF6" w:rsidRDefault="00064EE2" w:rsidP="00064EE2">
      <w:pPr>
        <w:spacing w:before="120" w:after="120"/>
        <w:ind w:firstLine="720"/>
        <w:jc w:val="both"/>
        <w:rPr>
          <w:color w:val="auto"/>
          <w:szCs w:val="28"/>
        </w:rPr>
      </w:pPr>
      <w:r w:rsidRPr="007C6AF6">
        <w:rPr>
          <w:color w:val="auto"/>
          <w:szCs w:val="28"/>
        </w:rPr>
        <w:t xml:space="preserve">Theo báo cáo của UBND huyện, thực hiện thu NSNN trên địa bàn đến 10/12/2017 là 67.800 triệu đồng </w:t>
      </w:r>
      <w:r w:rsidRPr="007C6AF6">
        <w:rPr>
          <w:i/>
          <w:color w:val="auto"/>
          <w:szCs w:val="28"/>
        </w:rPr>
        <w:t>(đạt 112% dự toán HĐND huyện giao),</w:t>
      </w:r>
      <w:r w:rsidRPr="007C6AF6">
        <w:rPr>
          <w:color w:val="auto"/>
          <w:szCs w:val="28"/>
        </w:rPr>
        <w:t xml:space="preserve"> ước thực hiện cả năm 80.692,75 triệu đồng, đạt 147% so với dự toán HĐND huyện giao; trong đó Chi cục Thuế thu 33.196,98 triệu đồng đạt 129% dự toán HĐND huyện giao và bằng 91% so với cùng kỳ năm 2016</w:t>
      </w:r>
      <w:r w:rsidRPr="007C6AF6">
        <w:rPr>
          <w:color w:val="auto"/>
          <w:szCs w:val="28"/>
          <w:vertAlign w:val="superscript"/>
        </w:rPr>
        <w:t>(</w:t>
      </w:r>
      <w:r w:rsidRPr="007C6AF6">
        <w:rPr>
          <w:rStyle w:val="FootnoteReference"/>
          <w:rFonts w:eastAsiaTheme="majorEastAsia"/>
          <w:color w:val="auto"/>
          <w:szCs w:val="28"/>
        </w:rPr>
        <w:footnoteReference w:id="2"/>
      </w:r>
      <w:r w:rsidRPr="007C6AF6">
        <w:rPr>
          <w:color w:val="auto"/>
          <w:szCs w:val="28"/>
          <w:vertAlign w:val="superscript"/>
        </w:rPr>
        <w:t>)</w:t>
      </w:r>
      <w:r w:rsidRPr="007C6AF6">
        <w:rPr>
          <w:color w:val="auto"/>
          <w:szCs w:val="28"/>
        </w:rPr>
        <w:t>.</w:t>
      </w:r>
    </w:p>
    <w:p w:rsidR="00064EE2" w:rsidRPr="007C6AF6" w:rsidRDefault="00064EE2" w:rsidP="00064EE2">
      <w:pPr>
        <w:tabs>
          <w:tab w:val="left" w:pos="709"/>
        </w:tabs>
        <w:spacing w:before="120" w:after="120"/>
        <w:jc w:val="both"/>
        <w:rPr>
          <w:color w:val="auto"/>
          <w:szCs w:val="28"/>
        </w:rPr>
      </w:pPr>
      <w:r w:rsidRPr="007C6AF6">
        <w:rPr>
          <w:color w:val="auto"/>
          <w:szCs w:val="28"/>
        </w:rPr>
        <w:tab/>
        <w:t>Thu ngân sách huyện HĐND huyện giao đầu năm 264.083 triệu đồng. T</w:t>
      </w:r>
      <w:r w:rsidRPr="007C6AF6">
        <w:rPr>
          <w:color w:val="auto"/>
          <w:szCs w:val="28"/>
          <w:lang w:val="vi-VN"/>
        </w:rPr>
        <w:t xml:space="preserve">rong đó, thu bổ sung cân đối </w:t>
      </w:r>
      <w:r w:rsidRPr="007C6AF6">
        <w:rPr>
          <w:color w:val="auto"/>
          <w:szCs w:val="28"/>
        </w:rPr>
        <w:t>190.242</w:t>
      </w:r>
      <w:r w:rsidRPr="007C6AF6">
        <w:rPr>
          <w:color w:val="auto"/>
          <w:szCs w:val="28"/>
          <w:lang w:val="vi-VN"/>
        </w:rPr>
        <w:t xml:space="preserve"> triệu đồng; bổ sung mục tiêu </w:t>
      </w:r>
      <w:r w:rsidRPr="007C6AF6">
        <w:rPr>
          <w:color w:val="auto"/>
          <w:szCs w:val="28"/>
        </w:rPr>
        <w:t>20.571</w:t>
      </w:r>
      <w:r w:rsidRPr="007C6AF6">
        <w:rPr>
          <w:color w:val="auto"/>
          <w:szCs w:val="28"/>
          <w:lang w:val="vi-VN"/>
        </w:rPr>
        <w:t xml:space="preserve"> triệu đồng; thu ngân sách huyện hưởng theo phân cấp </w:t>
      </w:r>
      <w:r w:rsidRPr="007C6AF6">
        <w:rPr>
          <w:color w:val="auto"/>
          <w:szCs w:val="28"/>
        </w:rPr>
        <w:t>52.820</w:t>
      </w:r>
      <w:r w:rsidRPr="007C6AF6">
        <w:rPr>
          <w:color w:val="auto"/>
          <w:szCs w:val="28"/>
          <w:lang w:val="vi-VN"/>
        </w:rPr>
        <w:t xml:space="preserve"> triệu đồng</w:t>
      </w:r>
      <w:r w:rsidRPr="007C6AF6">
        <w:rPr>
          <w:color w:val="auto"/>
          <w:szCs w:val="28"/>
        </w:rPr>
        <w:t>.</w:t>
      </w:r>
    </w:p>
    <w:p w:rsidR="00064EE2" w:rsidRPr="007C6AF6" w:rsidRDefault="00064EE2" w:rsidP="00064EE2">
      <w:pPr>
        <w:tabs>
          <w:tab w:val="left" w:pos="709"/>
        </w:tabs>
        <w:spacing w:before="120" w:after="120"/>
        <w:jc w:val="both"/>
        <w:rPr>
          <w:color w:val="auto"/>
          <w:szCs w:val="28"/>
        </w:rPr>
      </w:pPr>
      <w:r w:rsidRPr="007C6AF6">
        <w:rPr>
          <w:color w:val="auto"/>
          <w:szCs w:val="28"/>
        </w:rPr>
        <w:tab/>
        <w:t>Kết quả thu t</w:t>
      </w:r>
      <w:r w:rsidRPr="007C6AF6">
        <w:rPr>
          <w:color w:val="auto"/>
          <w:szCs w:val="28"/>
          <w:lang w:val="vi-VN"/>
        </w:rPr>
        <w:t xml:space="preserve">hực hiện </w:t>
      </w:r>
      <w:r w:rsidRPr="007C6AF6">
        <w:rPr>
          <w:color w:val="auto"/>
          <w:szCs w:val="28"/>
        </w:rPr>
        <w:t>đến 10/12/2017</w:t>
      </w:r>
      <w:r w:rsidRPr="007C6AF6">
        <w:rPr>
          <w:color w:val="auto"/>
          <w:szCs w:val="28"/>
          <w:lang w:val="vi-VN"/>
        </w:rPr>
        <w:t xml:space="preserve"> là </w:t>
      </w:r>
      <w:r w:rsidRPr="007C6AF6">
        <w:rPr>
          <w:color w:val="auto"/>
          <w:szCs w:val="28"/>
        </w:rPr>
        <w:t>306.980</w:t>
      </w:r>
      <w:r w:rsidRPr="007C6AF6">
        <w:rPr>
          <w:color w:val="auto"/>
          <w:szCs w:val="28"/>
          <w:lang w:val="vi-VN"/>
        </w:rPr>
        <w:t xml:space="preserve"> triệu đồng, đạt 11</w:t>
      </w:r>
      <w:r w:rsidRPr="007C6AF6">
        <w:rPr>
          <w:color w:val="auto"/>
          <w:szCs w:val="28"/>
        </w:rPr>
        <w:t>6</w:t>
      </w:r>
      <w:r w:rsidRPr="007C6AF6">
        <w:rPr>
          <w:color w:val="auto"/>
          <w:szCs w:val="28"/>
          <w:lang w:val="vi-VN"/>
        </w:rPr>
        <w:t>% dự toán</w:t>
      </w:r>
      <w:r w:rsidRPr="007C6AF6">
        <w:rPr>
          <w:color w:val="auto"/>
          <w:szCs w:val="28"/>
        </w:rPr>
        <w:t xml:space="preserve"> HĐND huyện giao</w:t>
      </w:r>
      <w:r w:rsidRPr="007C6AF6">
        <w:rPr>
          <w:color w:val="auto"/>
          <w:szCs w:val="28"/>
          <w:lang w:val="vi-VN"/>
        </w:rPr>
        <w:t xml:space="preserve">; </w:t>
      </w:r>
      <w:r w:rsidRPr="007C6AF6">
        <w:rPr>
          <w:color w:val="auto"/>
          <w:szCs w:val="28"/>
        </w:rPr>
        <w:t>t</w:t>
      </w:r>
      <w:r w:rsidRPr="007C6AF6">
        <w:rPr>
          <w:color w:val="auto"/>
          <w:szCs w:val="28"/>
          <w:lang w:val="vi-VN"/>
        </w:rPr>
        <w:t xml:space="preserve">rong đó, thu trên địa bàn ngân sách huyện hưởng </w:t>
      </w:r>
      <w:r w:rsidRPr="007C6AF6">
        <w:rPr>
          <w:color w:val="auto"/>
          <w:szCs w:val="28"/>
        </w:rPr>
        <w:t>53.714</w:t>
      </w:r>
      <w:r w:rsidRPr="007C6AF6">
        <w:rPr>
          <w:color w:val="auto"/>
          <w:szCs w:val="28"/>
          <w:lang w:val="vi-VN"/>
        </w:rPr>
        <w:t xml:space="preserve"> triệu đồng, đạt </w:t>
      </w:r>
      <w:r w:rsidRPr="007C6AF6">
        <w:rPr>
          <w:color w:val="auto"/>
          <w:szCs w:val="28"/>
        </w:rPr>
        <w:t>102</w:t>
      </w:r>
      <w:r w:rsidRPr="007C6AF6">
        <w:rPr>
          <w:color w:val="auto"/>
          <w:szCs w:val="28"/>
          <w:lang w:val="vi-VN"/>
        </w:rPr>
        <w:t xml:space="preserve">% dự toán huyện giao; </w:t>
      </w:r>
      <w:r w:rsidRPr="007C6AF6">
        <w:rPr>
          <w:color w:val="auto"/>
          <w:szCs w:val="28"/>
        </w:rPr>
        <w:t>ư</w:t>
      </w:r>
      <w:r w:rsidRPr="007C6AF6">
        <w:rPr>
          <w:color w:val="auto"/>
          <w:szCs w:val="28"/>
          <w:lang w:val="vi-VN"/>
        </w:rPr>
        <w:t xml:space="preserve">ớc thực hiện năm </w:t>
      </w:r>
      <w:r w:rsidRPr="007C6AF6">
        <w:rPr>
          <w:color w:val="auto"/>
          <w:szCs w:val="28"/>
        </w:rPr>
        <w:t>375.031</w:t>
      </w:r>
      <w:r w:rsidRPr="007C6AF6">
        <w:rPr>
          <w:color w:val="auto"/>
          <w:szCs w:val="28"/>
          <w:lang w:val="vi-VN"/>
        </w:rPr>
        <w:t xml:space="preserve"> triệu đồng, đạt </w:t>
      </w:r>
      <w:r w:rsidRPr="007C6AF6">
        <w:rPr>
          <w:color w:val="auto"/>
          <w:szCs w:val="28"/>
        </w:rPr>
        <w:t>142</w:t>
      </w:r>
      <w:r w:rsidRPr="007C6AF6">
        <w:rPr>
          <w:color w:val="auto"/>
          <w:szCs w:val="28"/>
          <w:lang w:val="vi-VN"/>
        </w:rPr>
        <w:t xml:space="preserve"> % dự toán, trong đó; thu bổ sung ngân sách </w:t>
      </w:r>
      <w:r w:rsidRPr="007C6AF6">
        <w:rPr>
          <w:color w:val="auto"/>
          <w:szCs w:val="28"/>
        </w:rPr>
        <w:t>267.834</w:t>
      </w:r>
      <w:r w:rsidRPr="007C6AF6">
        <w:rPr>
          <w:color w:val="auto"/>
          <w:szCs w:val="28"/>
          <w:lang w:val="vi-VN"/>
        </w:rPr>
        <w:t xml:space="preserve"> triệu đồng đạt 12</w:t>
      </w:r>
      <w:r w:rsidRPr="007C6AF6">
        <w:rPr>
          <w:color w:val="auto"/>
          <w:szCs w:val="28"/>
        </w:rPr>
        <w:t>7</w:t>
      </w:r>
      <w:r w:rsidRPr="007C6AF6">
        <w:rPr>
          <w:color w:val="auto"/>
          <w:szCs w:val="28"/>
          <w:lang w:val="vi-VN"/>
        </w:rPr>
        <w:t xml:space="preserve">% dự toán, thu chuyển nguồn </w:t>
      </w:r>
      <w:r w:rsidRPr="007C6AF6">
        <w:rPr>
          <w:color w:val="auto"/>
          <w:szCs w:val="28"/>
        </w:rPr>
        <w:t xml:space="preserve">26.523 triệu đồng </w:t>
      </w:r>
      <w:r w:rsidRPr="007C6AF6">
        <w:rPr>
          <w:color w:val="auto"/>
          <w:szCs w:val="28"/>
          <w:lang w:val="vi-VN"/>
        </w:rPr>
        <w:t xml:space="preserve">và kết dư ngân sách </w:t>
      </w:r>
      <w:r w:rsidRPr="007C6AF6">
        <w:rPr>
          <w:color w:val="auto"/>
          <w:szCs w:val="28"/>
        </w:rPr>
        <w:t>14.154</w:t>
      </w:r>
      <w:r w:rsidRPr="007C6AF6">
        <w:rPr>
          <w:color w:val="auto"/>
          <w:szCs w:val="28"/>
          <w:lang w:val="vi-VN"/>
        </w:rPr>
        <w:t xml:space="preserve"> triệu đồng; thu trên địa bàn ngân sách huyện hưởng </w:t>
      </w:r>
      <w:r w:rsidRPr="007C6AF6">
        <w:rPr>
          <w:color w:val="auto"/>
          <w:szCs w:val="28"/>
        </w:rPr>
        <w:t>65.047</w:t>
      </w:r>
      <w:r w:rsidRPr="007C6AF6">
        <w:rPr>
          <w:color w:val="auto"/>
          <w:szCs w:val="28"/>
          <w:lang w:val="vi-VN"/>
        </w:rPr>
        <w:t xml:space="preserve"> triệu đồng đạt </w:t>
      </w:r>
      <w:r w:rsidRPr="007C6AF6">
        <w:rPr>
          <w:color w:val="auto"/>
          <w:szCs w:val="28"/>
        </w:rPr>
        <w:t>123</w:t>
      </w:r>
      <w:r w:rsidRPr="007C6AF6">
        <w:rPr>
          <w:color w:val="auto"/>
          <w:szCs w:val="28"/>
          <w:lang w:val="vi-VN"/>
        </w:rPr>
        <w:t>% dự toán HĐND huyện giao</w:t>
      </w:r>
      <w:r w:rsidRPr="007C6AF6">
        <w:rPr>
          <w:color w:val="auto"/>
          <w:szCs w:val="28"/>
        </w:rPr>
        <w:t>.</w:t>
      </w:r>
    </w:p>
    <w:p w:rsidR="00064EE2" w:rsidRPr="007C6AF6" w:rsidRDefault="00064EE2" w:rsidP="00064EE2">
      <w:pPr>
        <w:tabs>
          <w:tab w:val="left" w:pos="709"/>
        </w:tabs>
        <w:spacing w:before="120" w:after="120"/>
        <w:jc w:val="both"/>
        <w:rPr>
          <w:i/>
          <w:color w:val="auto"/>
          <w:szCs w:val="28"/>
        </w:rPr>
      </w:pPr>
      <w:r w:rsidRPr="007C6AF6">
        <w:rPr>
          <w:color w:val="auto"/>
          <w:szCs w:val="28"/>
        </w:rPr>
        <w:tab/>
        <w:t xml:space="preserve">Trong đó: 05 khoản thu đạt và vượt cao so với dự toán giao đầu năm gồm: Thu từ doanh nghiệp nhà nước trung ương </w:t>
      </w:r>
      <w:r w:rsidRPr="007C6AF6">
        <w:rPr>
          <w:i/>
          <w:color w:val="auto"/>
          <w:szCs w:val="28"/>
        </w:rPr>
        <w:t xml:space="preserve">(đạt 1.189% KH giao); </w:t>
      </w:r>
      <w:r w:rsidRPr="007C6AF6">
        <w:rPr>
          <w:color w:val="auto"/>
          <w:szCs w:val="28"/>
        </w:rPr>
        <w:t xml:space="preserve">Thu từ thành </w:t>
      </w:r>
      <w:r w:rsidRPr="007C6AF6">
        <w:rPr>
          <w:color w:val="auto"/>
          <w:szCs w:val="28"/>
        </w:rPr>
        <w:lastRenderedPageBreak/>
        <w:t xml:space="preserve">phần kinh tế công thương nghiệp và dịch vụ ngoài quốc doanh </w:t>
      </w:r>
      <w:r w:rsidRPr="007C6AF6">
        <w:rPr>
          <w:i/>
          <w:color w:val="auto"/>
          <w:szCs w:val="28"/>
        </w:rPr>
        <w:t>(đạt 121% KH giao);</w:t>
      </w:r>
      <w:r w:rsidRPr="007C6AF6">
        <w:rPr>
          <w:color w:val="auto"/>
          <w:szCs w:val="28"/>
        </w:rPr>
        <w:t xml:space="preserve"> Thu tiền sử dụng đất </w:t>
      </w:r>
      <w:r w:rsidRPr="007C6AF6">
        <w:rPr>
          <w:i/>
          <w:color w:val="auto"/>
          <w:szCs w:val="28"/>
        </w:rPr>
        <w:t>(đạt 179% KH giao);</w:t>
      </w:r>
      <w:r w:rsidRPr="007C6AF6">
        <w:rPr>
          <w:color w:val="auto"/>
          <w:szCs w:val="28"/>
        </w:rPr>
        <w:t xml:space="preserve"> Lệ phí trước bạ </w:t>
      </w:r>
      <w:r w:rsidRPr="007C6AF6">
        <w:rPr>
          <w:i/>
          <w:color w:val="auto"/>
          <w:szCs w:val="28"/>
        </w:rPr>
        <w:t>(đạt 135% KH giao)</w:t>
      </w:r>
      <w:r w:rsidRPr="007C6AF6">
        <w:rPr>
          <w:color w:val="auto"/>
          <w:szCs w:val="28"/>
        </w:rPr>
        <w:t xml:space="preserve"> và các khoản thu khác còn lại </w:t>
      </w:r>
      <w:r w:rsidRPr="007C6AF6">
        <w:rPr>
          <w:i/>
          <w:color w:val="auto"/>
          <w:szCs w:val="28"/>
        </w:rPr>
        <w:t>(đạt 140% KH giao).</w:t>
      </w:r>
    </w:p>
    <w:p w:rsidR="00064EE2" w:rsidRPr="007C6AF6" w:rsidRDefault="00064EE2" w:rsidP="00064EE2">
      <w:pPr>
        <w:spacing w:before="120" w:after="120"/>
        <w:ind w:firstLine="720"/>
        <w:jc w:val="both"/>
        <w:rPr>
          <w:color w:val="auto"/>
          <w:szCs w:val="28"/>
        </w:rPr>
      </w:pPr>
      <w:r w:rsidRPr="007C6AF6">
        <w:rPr>
          <w:color w:val="auto"/>
          <w:szCs w:val="28"/>
        </w:rPr>
        <w:t>Các khoản thu chưa đạt theo dự toán trong năm 2017 gồm : Thu từ doanh nghiệp Nhà nước ở địa phương ước thực hiện cả năm 277 triệu đồng, đạt 64% dự toán; Các loại phí và lệ phí ước thực hiện cả năm là 775 triệu đồng, đạt 54%.</w:t>
      </w:r>
    </w:p>
    <w:p w:rsidR="00064EE2" w:rsidRPr="007C6AF6" w:rsidRDefault="00064EE2" w:rsidP="00064EE2">
      <w:pPr>
        <w:spacing w:before="120" w:after="120"/>
        <w:ind w:firstLine="720"/>
        <w:jc w:val="both"/>
        <w:rPr>
          <w:color w:val="auto"/>
          <w:szCs w:val="28"/>
        </w:rPr>
      </w:pPr>
      <w:r w:rsidRPr="007C6AF6">
        <w:rPr>
          <w:color w:val="auto"/>
          <w:szCs w:val="28"/>
        </w:rPr>
        <w:t>Công tác quản lý và thu thuế năm 2017 đã đạt được nhiều kết quả tốt, nhưng số thuế nợ đọng hiện nay vẫn còn cao và gia tăng so với năm 2016</w:t>
      </w:r>
      <w:r w:rsidRPr="007C6AF6">
        <w:rPr>
          <w:color w:val="auto"/>
          <w:szCs w:val="28"/>
          <w:vertAlign w:val="superscript"/>
        </w:rPr>
        <w:t>(</w:t>
      </w:r>
      <w:r w:rsidRPr="007C6AF6">
        <w:rPr>
          <w:rStyle w:val="FootnoteReference"/>
          <w:rFonts w:eastAsiaTheme="majorEastAsia"/>
          <w:color w:val="auto"/>
          <w:szCs w:val="28"/>
        </w:rPr>
        <w:footnoteReference w:id="3"/>
      </w:r>
      <w:r w:rsidRPr="007C6AF6">
        <w:rPr>
          <w:color w:val="auto"/>
          <w:szCs w:val="28"/>
          <w:vertAlign w:val="superscript"/>
        </w:rPr>
        <w:t>)</w:t>
      </w:r>
      <w:r w:rsidRPr="007C6AF6">
        <w:rPr>
          <w:color w:val="auto"/>
          <w:szCs w:val="28"/>
        </w:rPr>
        <w:t>.</w:t>
      </w:r>
    </w:p>
    <w:p w:rsidR="00064EE2" w:rsidRPr="007C6AF6" w:rsidRDefault="00064EE2" w:rsidP="00064EE2">
      <w:pPr>
        <w:spacing w:before="120" w:after="120"/>
        <w:ind w:firstLine="720"/>
        <w:jc w:val="both"/>
        <w:rPr>
          <w:color w:val="auto"/>
          <w:szCs w:val="28"/>
        </w:rPr>
      </w:pPr>
      <w:r w:rsidRPr="007C6AF6">
        <w:rPr>
          <w:color w:val="auto"/>
          <w:szCs w:val="28"/>
        </w:rPr>
        <w:t>Ban Kinh tế - Xã hội đồng tình với đánh giá của UBND huyện về tình hình thực hiện nhiệm vụ ngân sách 11 tháng năm 2017, trong đó một số khoản thu chưa đạt kế hoạch dự toán, nguyên nhân do giá cả các sản phẩm chủ lực trên địa bàn huyện xuống thấp, không ổn định đã tác động hoạt động sản xuất kinh doanh và đời sống của người dân, ảnh hưởng đến sản xuất các doanh nghiệp. Bên cạn đó, do Chính phủ đóng cửa rừng không cho tận thu khai thác lâm sản và một số loại phí phải chuyển đổi sang giá dịch vụ theo quy định cũng đã gây ảnh hưởng đến thu ngân sách huyện.</w:t>
      </w:r>
    </w:p>
    <w:p w:rsidR="00064EE2" w:rsidRPr="007C6AF6" w:rsidRDefault="00064EE2" w:rsidP="00064EE2">
      <w:pPr>
        <w:spacing w:before="120" w:after="120"/>
        <w:ind w:firstLine="720"/>
        <w:jc w:val="both"/>
        <w:rPr>
          <w:color w:val="auto"/>
          <w:szCs w:val="28"/>
        </w:rPr>
      </w:pPr>
      <w:r w:rsidRPr="007C6AF6">
        <w:rPr>
          <w:b/>
          <w:color w:val="auto"/>
          <w:szCs w:val="28"/>
        </w:rPr>
        <w:t>2.</w:t>
      </w:r>
      <w:r w:rsidRPr="007C6AF6">
        <w:rPr>
          <w:color w:val="auto"/>
          <w:szCs w:val="28"/>
        </w:rPr>
        <w:t xml:space="preserve"> </w:t>
      </w:r>
      <w:r w:rsidRPr="007C6AF6">
        <w:rPr>
          <w:b/>
          <w:color w:val="auto"/>
          <w:szCs w:val="28"/>
        </w:rPr>
        <w:t>Về thực hiện chi NSNN năm 2017</w:t>
      </w:r>
    </w:p>
    <w:p w:rsidR="00064EE2" w:rsidRPr="007C6AF6" w:rsidRDefault="00064EE2" w:rsidP="00064EE2">
      <w:pPr>
        <w:spacing w:before="120" w:after="120"/>
        <w:jc w:val="both"/>
        <w:rPr>
          <w:color w:val="auto"/>
          <w:szCs w:val="28"/>
        </w:rPr>
      </w:pPr>
      <w:r w:rsidRPr="007C6AF6">
        <w:rPr>
          <w:color w:val="auto"/>
          <w:szCs w:val="28"/>
        </w:rPr>
        <w:tab/>
        <w:t>Năm 2017, Hội đồng nhân dân huyện giao chi NSĐP là 264.083 triệu đồng, chuyển nhiệm vụ chi năm 2016 sang năm 2017 là 26.523,27 triệu đồng.</w:t>
      </w:r>
    </w:p>
    <w:p w:rsidR="00064EE2" w:rsidRPr="007C6AF6" w:rsidRDefault="00064EE2" w:rsidP="00064EE2">
      <w:pPr>
        <w:spacing w:before="120" w:after="120"/>
        <w:jc w:val="both"/>
        <w:rPr>
          <w:color w:val="auto"/>
          <w:szCs w:val="28"/>
        </w:rPr>
      </w:pPr>
      <w:r w:rsidRPr="007C6AF6">
        <w:rPr>
          <w:color w:val="auto"/>
          <w:szCs w:val="28"/>
        </w:rPr>
        <w:tab/>
        <w:t xml:space="preserve">Theo báo cáo của UBND huyện, đến ngày 10/12/2017 tổng chi ngân sách đạt 94% KH </w:t>
      </w:r>
      <w:r w:rsidRPr="007C6AF6">
        <w:rPr>
          <w:i/>
          <w:color w:val="auto"/>
          <w:szCs w:val="28"/>
        </w:rPr>
        <w:t>(247.891 triệu đồng),</w:t>
      </w:r>
      <w:r w:rsidRPr="007C6AF6">
        <w:rPr>
          <w:color w:val="auto"/>
          <w:szCs w:val="28"/>
        </w:rPr>
        <w:t xml:space="preserve"> ước thực hiện cả năm 361.782 triệu đồng, đạt 100% KH tỉnh giao và đạt 124% KH huyện giao. Trong đó: Chi đầu tư phát triển 79.820 triệu đồng, chi thường xuyên 276.392 triệu đồng.</w:t>
      </w:r>
    </w:p>
    <w:p w:rsidR="00064EE2" w:rsidRPr="007C6AF6" w:rsidRDefault="00064EE2" w:rsidP="00064EE2">
      <w:pPr>
        <w:spacing w:before="120" w:after="120"/>
        <w:jc w:val="both"/>
        <w:rPr>
          <w:color w:val="auto"/>
          <w:szCs w:val="28"/>
        </w:rPr>
      </w:pPr>
      <w:r w:rsidRPr="007C6AF6">
        <w:rPr>
          <w:color w:val="auto"/>
          <w:szCs w:val="28"/>
        </w:rPr>
        <w:tab/>
        <w:t xml:space="preserve">Ban Kinh tế - Xã hội cơ bản nhất trí với đánh giá của UBND huyện về kết quả thực hiện chi NSĐP năm 2017. Trong điều kiện nguồn thu ngân sách gặp khó khăn, thu chỉ đáp ứng 20% nhiệm vụ chi, UBND huyện đã chỉ đạo, điều hành thực hiện nhiệm vụ chi NSĐP đảm bảo đúng theo nghị quyết của HĐND huyện, đồng thời triển khai quyết liệt các giải pháp tiết kiệm chi.  </w:t>
      </w:r>
    </w:p>
    <w:p w:rsidR="00064EE2" w:rsidRPr="007C6AF6" w:rsidRDefault="00064EE2" w:rsidP="00064EE2">
      <w:pPr>
        <w:spacing w:before="120" w:after="120"/>
        <w:ind w:firstLine="709"/>
        <w:jc w:val="both"/>
        <w:rPr>
          <w:color w:val="auto"/>
          <w:szCs w:val="28"/>
        </w:rPr>
      </w:pPr>
      <w:r w:rsidRPr="007C6AF6">
        <w:rPr>
          <w:color w:val="auto"/>
          <w:szCs w:val="28"/>
        </w:rPr>
        <w:t>Trình HĐND huyện khóa X, kỳ họp thứ 5 xem xét, quyết định./.</w:t>
      </w:r>
    </w:p>
    <w:tbl>
      <w:tblPr>
        <w:tblW w:w="9588" w:type="dxa"/>
        <w:tblInd w:w="108" w:type="dxa"/>
        <w:tblLook w:val="0000"/>
      </w:tblPr>
      <w:tblGrid>
        <w:gridCol w:w="4467"/>
        <w:gridCol w:w="5121"/>
      </w:tblGrid>
      <w:tr w:rsidR="00064EE2" w:rsidRPr="007C6AF6" w:rsidTr="004E3FBB">
        <w:trPr>
          <w:trHeight w:val="922"/>
        </w:trPr>
        <w:tc>
          <w:tcPr>
            <w:tcW w:w="4467" w:type="dxa"/>
          </w:tcPr>
          <w:p w:rsidR="00064EE2" w:rsidRPr="00B456F4" w:rsidRDefault="00064EE2" w:rsidP="004E3FBB">
            <w:pPr>
              <w:jc w:val="both"/>
              <w:rPr>
                <w:iCs/>
                <w:color w:val="auto"/>
                <w:sz w:val="24"/>
                <w:lang w:val="fr-FR"/>
              </w:rPr>
            </w:pPr>
            <w:r w:rsidRPr="00B456F4">
              <w:rPr>
                <w:b/>
                <w:bCs/>
                <w:i/>
                <w:color w:val="auto"/>
                <w:sz w:val="24"/>
                <w:lang w:val="fr-FR"/>
              </w:rPr>
              <w:t>Nơi nhận:</w:t>
            </w:r>
          </w:p>
          <w:p w:rsidR="00064EE2" w:rsidRPr="00B456F4" w:rsidRDefault="00064EE2" w:rsidP="004E3FBB">
            <w:pPr>
              <w:tabs>
                <w:tab w:val="center" w:pos="7371"/>
              </w:tabs>
              <w:ind w:left="94" w:hanging="94"/>
              <w:jc w:val="both"/>
              <w:rPr>
                <w:color w:val="auto"/>
                <w:spacing w:val="-16"/>
                <w:sz w:val="22"/>
                <w:lang w:val="fr-FR"/>
              </w:rPr>
            </w:pPr>
            <w:r w:rsidRPr="00B456F4">
              <w:rPr>
                <w:color w:val="auto"/>
                <w:spacing w:val="-16"/>
                <w:sz w:val="22"/>
                <w:szCs w:val="22"/>
                <w:lang w:val="fr-FR"/>
              </w:rPr>
              <w:t>- TT HĐND (b/c);</w:t>
            </w:r>
          </w:p>
          <w:p w:rsidR="00064EE2" w:rsidRPr="00B456F4" w:rsidRDefault="00064EE2" w:rsidP="004E3FBB">
            <w:pPr>
              <w:tabs>
                <w:tab w:val="center" w:pos="7371"/>
              </w:tabs>
              <w:ind w:left="94" w:hanging="94"/>
              <w:jc w:val="both"/>
              <w:rPr>
                <w:color w:val="auto"/>
                <w:spacing w:val="-4"/>
                <w:sz w:val="22"/>
                <w:lang w:val="fr-FR"/>
              </w:rPr>
            </w:pPr>
            <w:r w:rsidRPr="00B456F4">
              <w:rPr>
                <w:color w:val="auto"/>
                <w:spacing w:val="-4"/>
                <w:sz w:val="22"/>
                <w:szCs w:val="22"/>
                <w:lang w:val="fr-FR"/>
              </w:rPr>
              <w:t>- Đại biểu HĐND huyện (b/c);</w:t>
            </w:r>
          </w:p>
          <w:p w:rsidR="00064EE2" w:rsidRPr="007C6AF6" w:rsidRDefault="00064EE2" w:rsidP="004E3FBB">
            <w:pPr>
              <w:jc w:val="both"/>
              <w:rPr>
                <w:color w:val="auto"/>
                <w:szCs w:val="28"/>
              </w:rPr>
            </w:pPr>
            <w:r w:rsidRPr="00B456F4">
              <w:rPr>
                <w:color w:val="auto"/>
                <w:sz w:val="22"/>
                <w:szCs w:val="22"/>
              </w:rPr>
              <w:t>- Lưu: VTLT</w:t>
            </w:r>
            <w:r w:rsidRPr="00B456F4">
              <w:rPr>
                <w:color w:val="auto"/>
                <w:sz w:val="22"/>
                <w:szCs w:val="22"/>
                <w:vertAlign w:val="subscript"/>
              </w:rPr>
              <w:t>L55</w:t>
            </w:r>
            <w:r w:rsidRPr="00B456F4">
              <w:rPr>
                <w:color w:val="auto"/>
                <w:sz w:val="22"/>
                <w:szCs w:val="22"/>
              </w:rPr>
              <w:t>.</w:t>
            </w:r>
          </w:p>
        </w:tc>
        <w:tc>
          <w:tcPr>
            <w:tcW w:w="5121" w:type="dxa"/>
          </w:tcPr>
          <w:p w:rsidR="00064EE2" w:rsidRPr="007C6AF6" w:rsidRDefault="00064EE2" w:rsidP="004E3FBB">
            <w:pPr>
              <w:jc w:val="center"/>
              <w:rPr>
                <w:color w:val="auto"/>
                <w:szCs w:val="28"/>
              </w:rPr>
            </w:pPr>
            <w:r w:rsidRPr="007C6AF6">
              <w:rPr>
                <w:b/>
                <w:color w:val="auto"/>
                <w:szCs w:val="28"/>
              </w:rPr>
              <w:t>TM. BAN KINH TẾ - XÃ HỘI</w:t>
            </w:r>
          </w:p>
          <w:p w:rsidR="00064EE2" w:rsidRPr="007C6AF6" w:rsidRDefault="00064EE2" w:rsidP="004E3FBB">
            <w:pPr>
              <w:jc w:val="center"/>
              <w:rPr>
                <w:b/>
                <w:color w:val="auto"/>
                <w:szCs w:val="28"/>
              </w:rPr>
            </w:pPr>
            <w:r w:rsidRPr="007C6AF6">
              <w:rPr>
                <w:b/>
                <w:color w:val="auto"/>
                <w:szCs w:val="28"/>
              </w:rPr>
              <w:t>KT. TRƯỞNG BAN</w:t>
            </w:r>
          </w:p>
          <w:p w:rsidR="00064EE2" w:rsidRPr="007C6AF6" w:rsidRDefault="00064EE2" w:rsidP="004E3FBB">
            <w:pPr>
              <w:jc w:val="center"/>
              <w:rPr>
                <w:b/>
                <w:color w:val="auto"/>
                <w:szCs w:val="28"/>
              </w:rPr>
            </w:pPr>
            <w:r w:rsidRPr="007C6AF6">
              <w:rPr>
                <w:b/>
                <w:color w:val="auto"/>
                <w:szCs w:val="28"/>
              </w:rPr>
              <w:t>PHÓ TRƯỞNG BAN</w:t>
            </w:r>
          </w:p>
          <w:p w:rsidR="00064EE2" w:rsidRPr="007C6AF6" w:rsidRDefault="00064EE2" w:rsidP="004E3FBB">
            <w:pPr>
              <w:jc w:val="center"/>
              <w:rPr>
                <w:b/>
                <w:color w:val="auto"/>
                <w:szCs w:val="28"/>
              </w:rPr>
            </w:pPr>
            <w:r w:rsidRPr="007C6AF6">
              <w:rPr>
                <w:b/>
                <w:color w:val="auto"/>
                <w:szCs w:val="28"/>
              </w:rPr>
              <w:t>(Đã ký)</w:t>
            </w:r>
          </w:p>
          <w:p w:rsidR="00064EE2" w:rsidRPr="007C6AF6" w:rsidRDefault="00064EE2" w:rsidP="004E3FBB">
            <w:pPr>
              <w:jc w:val="center"/>
              <w:rPr>
                <w:b/>
                <w:color w:val="auto"/>
                <w:szCs w:val="28"/>
              </w:rPr>
            </w:pPr>
          </w:p>
          <w:p w:rsidR="00064EE2" w:rsidRPr="007C6AF6" w:rsidRDefault="00064EE2" w:rsidP="004E3FBB">
            <w:pPr>
              <w:jc w:val="center"/>
              <w:rPr>
                <w:b/>
                <w:color w:val="auto"/>
                <w:szCs w:val="28"/>
              </w:rPr>
            </w:pPr>
            <w:r w:rsidRPr="007C6AF6">
              <w:rPr>
                <w:b/>
                <w:color w:val="auto"/>
                <w:szCs w:val="28"/>
              </w:rPr>
              <w:t>Đinh Trọng Lịch</w:t>
            </w:r>
          </w:p>
        </w:tc>
      </w:tr>
    </w:tbl>
    <w:p w:rsidR="00064EE2" w:rsidRPr="007C6AF6" w:rsidRDefault="00064EE2" w:rsidP="00064EE2">
      <w:pPr>
        <w:spacing w:before="120" w:after="120"/>
        <w:jc w:val="both"/>
        <w:rPr>
          <w:color w:val="auto"/>
          <w:szCs w:val="28"/>
        </w:rPr>
      </w:pPr>
    </w:p>
    <w:p w:rsidR="00064EE2" w:rsidRPr="007C6AF6" w:rsidRDefault="00064EE2" w:rsidP="00064EE2">
      <w:pPr>
        <w:pStyle w:val="Vnbnnidung41"/>
        <w:shd w:val="clear" w:color="auto" w:fill="auto"/>
        <w:spacing w:before="120" w:after="120" w:line="240" w:lineRule="auto"/>
        <w:jc w:val="both"/>
        <w:rPr>
          <w:sz w:val="28"/>
          <w:szCs w:val="28"/>
        </w:rPr>
      </w:pPr>
    </w:p>
    <w:p w:rsidR="00064EE2" w:rsidRPr="007C6AF6" w:rsidRDefault="00064EE2" w:rsidP="00064EE2">
      <w:pPr>
        <w:pStyle w:val="Vnbnnidung41"/>
        <w:shd w:val="clear" w:color="auto" w:fill="auto"/>
        <w:spacing w:before="120" w:after="120" w:line="240" w:lineRule="auto"/>
        <w:jc w:val="both"/>
        <w:rPr>
          <w:sz w:val="28"/>
          <w:szCs w:val="28"/>
        </w:rPr>
      </w:pPr>
    </w:p>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7EB" w:rsidRDefault="003657EB" w:rsidP="00064EE2">
      <w:r>
        <w:separator/>
      </w:r>
    </w:p>
  </w:endnote>
  <w:endnote w:type="continuationSeparator" w:id="1">
    <w:p w:rsidR="003657EB" w:rsidRDefault="003657EB" w:rsidP="00064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7EB" w:rsidRDefault="003657EB" w:rsidP="00064EE2">
      <w:r>
        <w:separator/>
      </w:r>
    </w:p>
  </w:footnote>
  <w:footnote w:type="continuationSeparator" w:id="1">
    <w:p w:rsidR="003657EB" w:rsidRDefault="003657EB" w:rsidP="00064EE2">
      <w:r>
        <w:continuationSeparator/>
      </w:r>
    </w:p>
  </w:footnote>
  <w:footnote w:id="2">
    <w:p w:rsidR="00064EE2" w:rsidRDefault="00064EE2" w:rsidP="00064EE2">
      <w:pPr>
        <w:pStyle w:val="FootnoteText"/>
        <w:ind w:firstLine="567"/>
        <w:jc w:val="both"/>
      </w:pPr>
      <w:r>
        <w:rPr>
          <w:vertAlign w:val="superscript"/>
        </w:rPr>
        <w:t>(</w:t>
      </w:r>
      <w:r>
        <w:rPr>
          <w:rStyle w:val="FootnoteReference"/>
          <w:rFonts w:eastAsiaTheme="majorEastAsia"/>
        </w:rPr>
        <w:footnoteRef/>
      </w:r>
      <w:r>
        <w:rPr>
          <w:vertAlign w:val="superscript"/>
        </w:rPr>
        <w:t>)</w:t>
      </w:r>
      <w:r>
        <w:t xml:space="preserve"> Phần Chi cục thuế thu năm 2016 theo báo cáo quyết toán NS 2016 số 297/BC-UBND ngày 17/7/2017 của UBND huyện là 36.398,17 triệu đồng.</w:t>
      </w:r>
    </w:p>
  </w:footnote>
  <w:footnote w:id="3">
    <w:p w:rsidR="00064EE2" w:rsidRPr="00FA2DD2" w:rsidRDefault="00064EE2" w:rsidP="00064EE2">
      <w:pPr>
        <w:pStyle w:val="FootnoteText"/>
        <w:widowControl w:val="0"/>
        <w:ind w:firstLine="567"/>
        <w:jc w:val="both"/>
      </w:pPr>
      <w:r w:rsidRPr="00635B8B">
        <w:rPr>
          <w:vertAlign w:val="superscript"/>
        </w:rPr>
        <w:t>(</w:t>
      </w:r>
      <w:r w:rsidRPr="00635B8B">
        <w:rPr>
          <w:rStyle w:val="FootnoteReference"/>
          <w:rFonts w:eastAsiaTheme="majorEastAsia"/>
        </w:rPr>
        <w:footnoteRef/>
      </w:r>
      <w:r w:rsidRPr="00635B8B">
        <w:rPr>
          <w:vertAlign w:val="superscript"/>
        </w:rPr>
        <w:t xml:space="preserve">) </w:t>
      </w:r>
      <w:r w:rsidRPr="00FA2DD2">
        <w:t>Số nợ đọng thuế đến 3</w:t>
      </w:r>
      <w:r>
        <w:t>1</w:t>
      </w:r>
      <w:r w:rsidRPr="00FA2DD2">
        <w:t>/</w:t>
      </w:r>
      <w:r>
        <w:t>12</w:t>
      </w:r>
      <w:r w:rsidRPr="00FA2DD2">
        <w:t>/201</w:t>
      </w:r>
      <w:r>
        <w:t>6</w:t>
      </w:r>
      <w:r w:rsidRPr="00FA2DD2">
        <w:t xml:space="preserve"> là</w:t>
      </w:r>
      <w:r>
        <w:t xml:space="preserve"> 2.734 tr.đ. Trong đó: Nợ khó thu là 1.415 triệu đồng</w:t>
      </w:r>
      <w:r w:rsidRPr="00FA2DD2">
        <w:t>.</w:t>
      </w:r>
      <w:r>
        <w:t xml:space="preserve"> Số nợ đọng thuế đến 23/10/2017 là 3.090 triệu đồng (tăng 356 triệu đồng), trong đó nợ khó thu là 2.234 triệu đồng (819 triệu đồng).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64EE2"/>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4EE2"/>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657EB"/>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E2"/>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064EE2"/>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4EE2"/>
    <w:rPr>
      <w:rFonts w:eastAsia="Times New Roman" w:cs="Times New Roman"/>
      <w:i/>
      <w:sz w:val="24"/>
      <w:szCs w:val="24"/>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qFormat/>
    <w:rsid w:val="00064EE2"/>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064EE2"/>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064EE2"/>
    <w:rPr>
      <w:vertAlign w:val="superscript"/>
    </w:rPr>
  </w:style>
  <w:style w:type="paragraph" w:customStyle="1" w:styleId="Vnbnnidung41">
    <w:name w:val="Văn bản nội dung (4)1"/>
    <w:basedOn w:val="Normal"/>
    <w:uiPriority w:val="99"/>
    <w:rsid w:val="00064EE2"/>
    <w:pPr>
      <w:widowControl w:val="0"/>
      <w:shd w:val="clear" w:color="auto" w:fill="FFFFFF"/>
      <w:spacing w:before="300" w:after="420" w:line="240" w:lineRule="atLeast"/>
      <w:jc w:val="center"/>
    </w:pPr>
    <w:rPr>
      <w:rFonts w:eastAsiaTheme="minorHAnsi"/>
      <w:color w:val="auto"/>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3780</Characters>
  <Application>Microsoft Office Word</Application>
  <DocSecurity>0</DocSecurity>
  <Lines>31</Lines>
  <Paragraphs>8</Paragraphs>
  <ScaleCrop>false</ScaleCrop>
  <Company>Sky123.Org</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2018-05-27T10:38:00Z</dcterms:created>
  <dcterms:modified xsi:type="dcterms:W3CDTF">2018-05-27T10:38:00Z</dcterms:modified>
</cp:coreProperties>
</file>