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4" w:type="dxa"/>
        <w:tblInd w:w="108" w:type="dxa"/>
        <w:tblLook w:val="01E0"/>
      </w:tblPr>
      <w:tblGrid>
        <w:gridCol w:w="3222"/>
        <w:gridCol w:w="6382"/>
      </w:tblGrid>
      <w:tr w:rsidR="005D6976" w:rsidRPr="007C6AF6" w:rsidTr="004E3FBB">
        <w:trPr>
          <w:trHeight w:val="904"/>
        </w:trPr>
        <w:tc>
          <w:tcPr>
            <w:tcW w:w="3222" w:type="dxa"/>
            <w:hideMark/>
          </w:tcPr>
          <w:p w:rsidR="005D6976" w:rsidRPr="00B456F4" w:rsidRDefault="005D6976" w:rsidP="004E3FBB">
            <w:pPr>
              <w:jc w:val="center"/>
              <w:rPr>
                <w:b/>
                <w:color w:val="auto"/>
                <w:sz w:val="26"/>
                <w:szCs w:val="26"/>
                <w:lang w:val="nl-NL" w:eastAsia="vi-VN" w:bidi="vi-VN"/>
              </w:rPr>
            </w:pPr>
            <w:r w:rsidRPr="007C6AF6">
              <w:rPr>
                <w:b/>
                <w:color w:val="auto"/>
                <w:szCs w:val="28"/>
                <w:lang w:val="nl-NL" w:eastAsia="vi-VN" w:bidi="vi-VN"/>
              </w:rPr>
              <w:t xml:space="preserve">  </w:t>
            </w:r>
            <w:r w:rsidRPr="00B456F4">
              <w:rPr>
                <w:b/>
                <w:color w:val="auto"/>
                <w:sz w:val="26"/>
                <w:szCs w:val="26"/>
                <w:lang w:val="nl-NL" w:eastAsia="vi-VN" w:bidi="vi-VN"/>
              </w:rPr>
              <w:t>ỦY BAN NHÂN DÂN</w:t>
            </w:r>
          </w:p>
          <w:p w:rsidR="005D6976" w:rsidRPr="007C6AF6" w:rsidRDefault="005D6976" w:rsidP="004E3FBB">
            <w:pPr>
              <w:jc w:val="center"/>
              <w:rPr>
                <w:b/>
                <w:color w:val="auto"/>
                <w:szCs w:val="28"/>
                <w:lang w:val="nl-NL" w:eastAsia="vi-VN" w:bidi="vi-VN"/>
              </w:rPr>
            </w:pPr>
            <w:r w:rsidRPr="00942320">
              <w:rPr>
                <w:color w:val="auto"/>
                <w:sz w:val="26"/>
                <w:szCs w:val="26"/>
                <w:lang w:val="vi-VN" w:eastAsia="vi-VN" w:bidi="vi-VN"/>
              </w:rPr>
              <w:pict>
                <v:line id="_x0000_s1026" style="position:absolute;left:0;text-align:left;z-index:251660288" from="47.1pt,16.7pt" to="95.1pt,16.7pt"/>
              </w:pict>
            </w:r>
            <w:r w:rsidRPr="00B456F4">
              <w:rPr>
                <w:b/>
                <w:color w:val="auto"/>
                <w:sz w:val="26"/>
                <w:szCs w:val="26"/>
                <w:lang w:val="nl-NL" w:eastAsia="vi-VN" w:bidi="vi-VN"/>
              </w:rPr>
              <w:t>HUYỆN SA THẦY</w:t>
            </w:r>
            <w:r w:rsidRPr="007C6AF6">
              <w:rPr>
                <w:b/>
                <w:color w:val="auto"/>
                <w:szCs w:val="28"/>
                <w:lang w:val="nl-NL" w:eastAsia="vi-VN" w:bidi="vi-VN"/>
              </w:rPr>
              <w:t xml:space="preserve"> </w:t>
            </w:r>
          </w:p>
        </w:tc>
        <w:tc>
          <w:tcPr>
            <w:tcW w:w="6382" w:type="dxa"/>
            <w:hideMark/>
          </w:tcPr>
          <w:p w:rsidR="005D6976" w:rsidRPr="00B456F4" w:rsidRDefault="005D6976" w:rsidP="004E3FBB">
            <w:pPr>
              <w:jc w:val="center"/>
              <w:rPr>
                <w:b/>
                <w:color w:val="auto"/>
                <w:sz w:val="26"/>
                <w:szCs w:val="26"/>
                <w:lang w:val="nl-NL" w:eastAsia="vi-VN" w:bidi="vi-VN"/>
              </w:rPr>
            </w:pPr>
            <w:r w:rsidRPr="00B456F4">
              <w:rPr>
                <w:b/>
                <w:color w:val="auto"/>
                <w:sz w:val="26"/>
                <w:szCs w:val="26"/>
                <w:lang w:val="nl-NL" w:eastAsia="vi-VN" w:bidi="vi-VN"/>
              </w:rPr>
              <w:t>CỘNG HÒA XÃ HỘI CHỦ NGHĨA VIỆT NAM</w:t>
            </w:r>
          </w:p>
          <w:p w:rsidR="005D6976" w:rsidRPr="007C6AF6" w:rsidRDefault="005D6976" w:rsidP="004E3FBB">
            <w:pPr>
              <w:jc w:val="center"/>
              <w:rPr>
                <w:b/>
                <w:color w:val="auto"/>
                <w:szCs w:val="28"/>
                <w:lang w:val="vi-VN" w:eastAsia="vi-VN" w:bidi="vi-VN"/>
              </w:rPr>
            </w:pPr>
            <w:r w:rsidRPr="00942320">
              <w:rPr>
                <w:color w:val="auto"/>
                <w:szCs w:val="28"/>
                <w:lang w:val="vi-VN" w:eastAsia="vi-VN" w:bidi="vi-VN"/>
              </w:rPr>
              <w:pict>
                <v:line id="_x0000_s1027" style="position:absolute;left:0;text-align:left;z-index:251661312" from="67.25pt,17.4pt" to="238.25pt,17.4pt"/>
              </w:pict>
            </w:r>
            <w:r w:rsidRPr="007C6AF6">
              <w:rPr>
                <w:b/>
                <w:color w:val="auto"/>
                <w:szCs w:val="28"/>
                <w:lang w:val="vi-VN" w:eastAsia="vi-VN" w:bidi="vi-VN"/>
              </w:rPr>
              <w:t>Độc lập - Tự do - Hạnh phúc</w:t>
            </w:r>
          </w:p>
        </w:tc>
      </w:tr>
      <w:tr w:rsidR="005D6976" w:rsidRPr="007C6AF6" w:rsidTr="004E3FBB">
        <w:trPr>
          <w:trHeight w:val="342"/>
        </w:trPr>
        <w:tc>
          <w:tcPr>
            <w:tcW w:w="3222" w:type="dxa"/>
            <w:hideMark/>
          </w:tcPr>
          <w:p w:rsidR="005D6976" w:rsidRPr="00B456F4" w:rsidRDefault="005D6976" w:rsidP="004E3FBB">
            <w:pPr>
              <w:jc w:val="center"/>
              <w:rPr>
                <w:color w:val="auto"/>
                <w:sz w:val="26"/>
                <w:szCs w:val="26"/>
                <w:lang w:val="nl-NL" w:eastAsia="vi-VN" w:bidi="vi-VN"/>
              </w:rPr>
            </w:pPr>
            <w:r w:rsidRPr="00B456F4">
              <w:rPr>
                <w:color w:val="auto"/>
                <w:sz w:val="26"/>
                <w:szCs w:val="26"/>
                <w:lang w:val="nl-NL" w:eastAsia="vi-VN" w:bidi="vi-VN"/>
              </w:rPr>
              <w:t>Số: 537/BC-UBND</w:t>
            </w:r>
          </w:p>
        </w:tc>
        <w:tc>
          <w:tcPr>
            <w:tcW w:w="6382" w:type="dxa"/>
            <w:hideMark/>
          </w:tcPr>
          <w:p w:rsidR="005D6976" w:rsidRPr="007C6AF6" w:rsidRDefault="005D6976" w:rsidP="004E3FBB">
            <w:pPr>
              <w:jc w:val="center"/>
              <w:rPr>
                <w:i/>
                <w:color w:val="auto"/>
                <w:szCs w:val="28"/>
                <w:lang w:val="nl-NL" w:eastAsia="vi-VN" w:bidi="vi-VN"/>
              </w:rPr>
            </w:pPr>
            <w:r w:rsidRPr="007C6AF6">
              <w:rPr>
                <w:i/>
                <w:color w:val="auto"/>
                <w:szCs w:val="28"/>
                <w:lang w:val="nl-NL" w:eastAsia="vi-VN" w:bidi="vi-VN"/>
              </w:rPr>
              <w:t>Sa Thầy, ngày 13 tháng 12 năm 2017</w:t>
            </w:r>
          </w:p>
        </w:tc>
      </w:tr>
    </w:tbl>
    <w:p w:rsidR="005D6976" w:rsidRPr="007C6AF6" w:rsidRDefault="005D6976" w:rsidP="005D6976">
      <w:pPr>
        <w:spacing w:before="120" w:after="120"/>
        <w:jc w:val="both"/>
        <w:rPr>
          <w:color w:val="auto"/>
          <w:szCs w:val="28"/>
          <w:lang w:val="pt-BR"/>
        </w:rPr>
      </w:pPr>
    </w:p>
    <w:p w:rsidR="005D6976" w:rsidRPr="007C6AF6" w:rsidRDefault="005D6976" w:rsidP="005D6976">
      <w:pPr>
        <w:jc w:val="center"/>
        <w:rPr>
          <w:b/>
          <w:color w:val="auto"/>
          <w:szCs w:val="28"/>
          <w:lang w:val="pt-BR"/>
        </w:rPr>
      </w:pPr>
      <w:r w:rsidRPr="007C6AF6">
        <w:rPr>
          <w:b/>
          <w:color w:val="auto"/>
          <w:szCs w:val="28"/>
          <w:lang w:val="pt-BR"/>
        </w:rPr>
        <w:t>BÁO CÁO</w:t>
      </w:r>
    </w:p>
    <w:p w:rsidR="005D6976" w:rsidRPr="007C6AF6" w:rsidRDefault="005D6976" w:rsidP="005D6976">
      <w:pPr>
        <w:jc w:val="center"/>
        <w:rPr>
          <w:b/>
          <w:color w:val="auto"/>
          <w:szCs w:val="28"/>
          <w:lang w:val="pt-BR"/>
        </w:rPr>
      </w:pPr>
      <w:r w:rsidRPr="007C6AF6">
        <w:rPr>
          <w:b/>
          <w:color w:val="auto"/>
          <w:szCs w:val="28"/>
          <w:lang w:val="pt-BR"/>
        </w:rPr>
        <w:t>Tình hình thực hiện dự toán thu, chi ngân sách năm 2017</w:t>
      </w:r>
    </w:p>
    <w:p w:rsidR="005D6976" w:rsidRPr="007C6AF6" w:rsidRDefault="005D6976" w:rsidP="005D6976">
      <w:pPr>
        <w:spacing w:before="120" w:after="120"/>
        <w:jc w:val="both"/>
        <w:rPr>
          <w:color w:val="auto"/>
          <w:szCs w:val="28"/>
          <w:lang w:val="pt-BR"/>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4.65pt;margin-top:.75pt;width:48.4pt;height:0;z-index:251662336" o:connectortype="straight"/>
        </w:pict>
      </w:r>
    </w:p>
    <w:p w:rsidR="005D6976" w:rsidRPr="007C6AF6" w:rsidRDefault="005D6976" w:rsidP="005D6976">
      <w:pPr>
        <w:pStyle w:val="Vnbnnidung41"/>
        <w:shd w:val="clear" w:color="auto" w:fill="auto"/>
        <w:spacing w:before="120" w:after="120" w:line="240" w:lineRule="auto"/>
        <w:ind w:firstLine="709"/>
        <w:jc w:val="both"/>
        <w:rPr>
          <w:rStyle w:val="Vnbnnidung4"/>
          <w:rFonts w:eastAsiaTheme="majorEastAsia"/>
          <w:i w:val="0"/>
          <w:sz w:val="28"/>
          <w:lang w:eastAsia="vi-VN"/>
        </w:rPr>
      </w:pPr>
      <w:r w:rsidRPr="007C6AF6">
        <w:rPr>
          <w:rStyle w:val="Vnbnnidung4"/>
          <w:rFonts w:eastAsiaTheme="majorEastAsia"/>
          <w:sz w:val="28"/>
          <w:lang w:eastAsia="vi-VN"/>
        </w:rPr>
        <w:t>Căn cứ Quyết định số 1057/QĐ-UBND ngày 09/12/2016 của UBND tỉnh Kon Tum về việc giao chỉ tiêu kế hoạch kinh tế - xã hội và dự toán ngân sách nhà nước năm 2017;</w:t>
      </w:r>
    </w:p>
    <w:p w:rsidR="005D6976" w:rsidRPr="007C6AF6" w:rsidRDefault="005D6976" w:rsidP="005D6976">
      <w:pPr>
        <w:pStyle w:val="Vnbnnidung21"/>
        <w:shd w:val="clear" w:color="auto" w:fill="auto"/>
        <w:spacing w:before="120" w:after="120" w:line="240" w:lineRule="auto"/>
        <w:ind w:firstLine="709"/>
        <w:jc w:val="both"/>
        <w:rPr>
          <w:rStyle w:val="Vnbnnidung2"/>
          <w:rFonts w:eastAsiaTheme="majorEastAsia"/>
          <w:i/>
          <w:sz w:val="28"/>
          <w:szCs w:val="28"/>
          <w:lang w:eastAsia="vi-VN"/>
        </w:rPr>
      </w:pPr>
      <w:r w:rsidRPr="007C6AF6">
        <w:rPr>
          <w:rStyle w:val="Vnbnnidung4"/>
          <w:rFonts w:eastAsiaTheme="majorEastAsia"/>
          <w:sz w:val="28"/>
          <w:lang w:eastAsia="vi-VN"/>
        </w:rPr>
        <w:t>Căn cứ Nghị quyết số 50/NQ-HĐND ngày 20/12/2016 của HĐND huyện Sa Thầy về việc giao chỉ tiêu kế hoạch và dự toán ngân sách nhà nước năm 2017,</w:t>
      </w:r>
    </w:p>
    <w:p w:rsidR="005D6976" w:rsidRPr="007C6AF6" w:rsidRDefault="005D6976" w:rsidP="005D6976">
      <w:pPr>
        <w:pStyle w:val="Vnbnnidung41"/>
        <w:shd w:val="clear" w:color="auto" w:fill="auto"/>
        <w:spacing w:before="120" w:after="120" w:line="240" w:lineRule="auto"/>
        <w:ind w:firstLine="709"/>
        <w:jc w:val="both"/>
        <w:rPr>
          <w:rStyle w:val="Vnbnnidung2"/>
          <w:rFonts w:eastAsiaTheme="majorEastAsia"/>
          <w:sz w:val="28"/>
          <w:szCs w:val="28"/>
          <w:lang w:eastAsia="vi-VN"/>
        </w:rPr>
      </w:pPr>
      <w:r w:rsidRPr="007C6AF6">
        <w:rPr>
          <w:rStyle w:val="Vnbnnidung4"/>
          <w:rFonts w:eastAsiaTheme="majorEastAsia"/>
          <w:sz w:val="28"/>
          <w:lang w:eastAsia="vi-VN"/>
        </w:rPr>
        <w:t>UBND huyện Sa Thầy báo cáo đánh giá tình hình thực hiện dự toán thu, chi ngân sách năm 2017 cụ thể như sau:</w:t>
      </w:r>
    </w:p>
    <w:p w:rsidR="005D6976" w:rsidRPr="007C6AF6" w:rsidRDefault="005D6976" w:rsidP="005D6976">
      <w:pPr>
        <w:pStyle w:val="Vnbnnidung21"/>
        <w:shd w:val="clear" w:color="auto" w:fill="auto"/>
        <w:spacing w:before="120" w:after="120" w:line="240" w:lineRule="auto"/>
        <w:ind w:firstLine="709"/>
        <w:jc w:val="both"/>
        <w:rPr>
          <w:sz w:val="28"/>
          <w:szCs w:val="28"/>
        </w:rPr>
      </w:pPr>
      <w:r w:rsidRPr="007C6AF6">
        <w:rPr>
          <w:rStyle w:val="Vnbnnidung2"/>
          <w:rFonts w:eastAsiaTheme="majorEastAsia"/>
          <w:sz w:val="28"/>
          <w:szCs w:val="28"/>
          <w:lang w:eastAsia="vi-VN"/>
        </w:rPr>
        <w:t>I. Kết quả thu ngân sách nhà nước trên địa bàn</w:t>
      </w:r>
    </w:p>
    <w:p w:rsidR="005D6976" w:rsidRPr="007C6AF6" w:rsidRDefault="005D6976" w:rsidP="005D6976">
      <w:pPr>
        <w:pStyle w:val="Vnbnnidung21"/>
        <w:shd w:val="clear" w:color="auto" w:fill="auto"/>
        <w:spacing w:before="120" w:after="120" w:line="240" w:lineRule="auto"/>
        <w:ind w:firstLine="709"/>
        <w:jc w:val="both"/>
        <w:rPr>
          <w:sz w:val="28"/>
          <w:szCs w:val="28"/>
        </w:rPr>
      </w:pPr>
      <w:r w:rsidRPr="007C6AF6">
        <w:rPr>
          <w:rStyle w:val="Vnbnnidung2"/>
          <w:rFonts w:eastAsiaTheme="majorEastAsia"/>
          <w:sz w:val="28"/>
          <w:szCs w:val="28"/>
          <w:lang w:eastAsia="vi-VN"/>
        </w:rPr>
        <w:t>1. Thu ngân sách cân đối nhiệm vụ chi</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
          <w:rFonts w:eastAsiaTheme="majorEastAsia"/>
          <w:sz w:val="28"/>
          <w:lang w:eastAsia="vi-VN"/>
        </w:rPr>
        <w:t>Năm 2017, UBND tỉnh giao chỉ tiêu thu ngân sách nhà nước trên địa bàn để cân đối các nhiệm vụ chi của huyện là 54.880 triệu đồng. Để đáp ứng các nhiệm vụ chi, HĐND huyện đã quyết định giao 60.487 triệu đồng, tăng 5.607 triệu đồng (10,21%) so vói UBND tỉnh giao.</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
          <w:rFonts w:eastAsiaTheme="majorEastAsia"/>
          <w:sz w:val="28"/>
          <w:lang w:eastAsia="vi-VN"/>
        </w:rPr>
        <w:t>Đến thời điểm 10/12/2017, thu ngân sách trên địa bàn để cân đối nhiệm vụ chi của huyện là 67.800 triệu đồng, đạt 112% kế hoạch. Uớc thực hiện cả năm là 80.692,75 triệu đồng, đạt 147% kế hoạch tỉnh giao và 133% kế hoạch huyện giao. Các lĩnh vực thu ngân sách, cụ thể:</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Innghing"/>
          <w:rFonts w:eastAsiaTheme="majorEastAsia"/>
          <w:sz w:val="28"/>
          <w:szCs w:val="28"/>
          <w:lang w:eastAsia="vi-VN"/>
        </w:rPr>
        <w:t>- Thu từ Doanh nghiệp Nhà nước Trung ương:</w:t>
      </w:r>
      <w:r w:rsidRPr="007C6AF6">
        <w:rPr>
          <w:rStyle w:val="Vnbnnidung4"/>
          <w:rFonts w:eastAsiaTheme="majorEastAsia"/>
          <w:sz w:val="28"/>
          <w:lang w:eastAsia="vi-VN"/>
        </w:rPr>
        <w:t xml:space="preserve"> ước thực hiện cả năm 6.537 triệu đồng, đạt 1.189% kế hoạch giao và bằng 128% so cùng kỳ.</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Innghing"/>
          <w:rFonts w:eastAsiaTheme="majorEastAsia"/>
          <w:sz w:val="28"/>
          <w:szCs w:val="28"/>
          <w:lang w:eastAsia="vi-VN"/>
        </w:rPr>
        <w:t>- Thu từ Doanh nghiệp Nhà nước địa phương:</w:t>
      </w:r>
      <w:r w:rsidRPr="007C6AF6">
        <w:rPr>
          <w:rStyle w:val="Vnbnnidung4"/>
          <w:rFonts w:eastAsiaTheme="majorEastAsia"/>
          <w:sz w:val="28"/>
          <w:lang w:eastAsia="vi-VN"/>
        </w:rPr>
        <w:t xml:space="preserve"> ước thực hiện cả năm 277 triệu đồng, đạt 64% dự toán và bằng 54% so cùng kỳ.</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Innghing"/>
          <w:rFonts w:eastAsiaTheme="majorEastAsia"/>
          <w:sz w:val="28"/>
          <w:szCs w:val="28"/>
          <w:lang w:eastAsia="vi-VN"/>
        </w:rPr>
        <w:t xml:space="preserve">- Thu từ thành phần kinh tế công thương nghiệp và dịch vụ ngoài quốc doanh: </w:t>
      </w:r>
      <w:r w:rsidRPr="007C6AF6">
        <w:rPr>
          <w:rStyle w:val="Vnbnnidung4"/>
          <w:rFonts w:eastAsiaTheme="majorEastAsia"/>
          <w:sz w:val="28"/>
          <w:lang w:eastAsia="vi-VN"/>
        </w:rPr>
        <w:t>ước thực hiện cả năm 54.456 triệu đồng, đạt 128% kế hoạch tỉnh giao, đạt 121% kế hoạch huyện giao và bằng 99% so cùng kỳ.</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Innghing"/>
          <w:rFonts w:eastAsiaTheme="majorEastAsia"/>
          <w:sz w:val="28"/>
          <w:szCs w:val="28"/>
          <w:lang w:eastAsia="vi-VN"/>
        </w:rPr>
        <w:t>- Thu tiền sử dụng đất:</w:t>
      </w:r>
      <w:r w:rsidRPr="007C6AF6">
        <w:rPr>
          <w:rStyle w:val="Vnbnnidung4"/>
          <w:rFonts w:eastAsiaTheme="majorEastAsia"/>
          <w:sz w:val="28"/>
          <w:lang w:eastAsia="vi-VN"/>
        </w:rPr>
        <w:t xml:space="preserve"> ước thực hiện cả năm 9.247 triệu đồng, đạt 925% dự toán tỉnh giao; đạt 179% dự toán huyện giao và bằng 71% so cùng kỳ.</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Innghing"/>
          <w:rFonts w:eastAsiaTheme="majorEastAsia"/>
          <w:sz w:val="28"/>
          <w:szCs w:val="28"/>
          <w:lang w:eastAsia="vi-VN"/>
        </w:rPr>
        <w:t>- Thuế thu nhập cá nhân:</w:t>
      </w:r>
      <w:r w:rsidRPr="007C6AF6">
        <w:rPr>
          <w:rStyle w:val="Vnbnnidung4"/>
          <w:rFonts w:eastAsiaTheme="majorEastAsia"/>
          <w:sz w:val="28"/>
          <w:lang w:eastAsia="vi-VN"/>
        </w:rPr>
        <w:t xml:space="preserve"> ước thực hiện cả năm 4.100 triệu đồng, đạt 155% dự toán và bằng 150% so cùng kỳ.</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Innghing"/>
          <w:rFonts w:eastAsiaTheme="majorEastAsia"/>
          <w:sz w:val="28"/>
          <w:szCs w:val="28"/>
          <w:lang w:eastAsia="vi-VN"/>
        </w:rPr>
        <w:t>- Lệ phí trước bạ:</w:t>
      </w:r>
      <w:r w:rsidRPr="007C6AF6">
        <w:rPr>
          <w:rStyle w:val="Vnbnnidung4"/>
          <w:rFonts w:eastAsiaTheme="majorEastAsia"/>
          <w:sz w:val="28"/>
          <w:lang w:eastAsia="vi-VN"/>
        </w:rPr>
        <w:t xml:space="preserve"> ước thực hiện cả năm 2.500 triệu đồng, đạt 135% dự toán và bằng 123% so cùng kỳ.</w:t>
      </w:r>
    </w:p>
    <w:p w:rsidR="005D6976" w:rsidRPr="007C6AF6" w:rsidRDefault="005D6976" w:rsidP="005D6976">
      <w:pPr>
        <w:pStyle w:val="Vnbnnidung41"/>
        <w:shd w:val="clear" w:color="auto" w:fill="auto"/>
        <w:spacing w:before="120" w:after="120" w:line="240" w:lineRule="auto"/>
        <w:ind w:firstLine="709"/>
        <w:jc w:val="both"/>
        <w:rPr>
          <w:rStyle w:val="Vnbnnidung4"/>
          <w:rFonts w:eastAsiaTheme="minorHAnsi"/>
          <w:iCs w:val="0"/>
          <w:sz w:val="28"/>
        </w:rPr>
      </w:pPr>
      <w:r w:rsidRPr="007C6AF6">
        <w:rPr>
          <w:rStyle w:val="Vnbnnidung4Innghing"/>
          <w:rFonts w:eastAsiaTheme="majorEastAsia"/>
          <w:sz w:val="28"/>
          <w:szCs w:val="28"/>
          <w:lang w:eastAsia="vi-VN"/>
        </w:rPr>
        <w:t>- Các loại phí và lệ phí:</w:t>
      </w:r>
      <w:r w:rsidRPr="007C6AF6">
        <w:rPr>
          <w:rStyle w:val="Vnbnnidung4"/>
          <w:rFonts w:eastAsiaTheme="majorEastAsia"/>
          <w:sz w:val="28"/>
          <w:lang w:eastAsia="vi-VN"/>
        </w:rPr>
        <w:t xml:space="preserve"> ước thực hiện cả năm 775 triệu đồng, đạt 54% dự </w:t>
      </w:r>
      <w:r w:rsidRPr="007C6AF6">
        <w:rPr>
          <w:rStyle w:val="Vnbnnidung4"/>
          <w:rFonts w:eastAsiaTheme="majorEastAsia"/>
          <w:sz w:val="28"/>
          <w:lang w:eastAsia="vi-VN"/>
        </w:rPr>
        <w:lastRenderedPageBreak/>
        <w:t>toán và bằng 73% so cùng kỳ.</w:t>
      </w:r>
    </w:p>
    <w:p w:rsidR="005D6976" w:rsidRPr="007C6AF6" w:rsidRDefault="005D6976" w:rsidP="005D6976">
      <w:pPr>
        <w:pStyle w:val="Vnbnnidung41"/>
        <w:shd w:val="clear" w:color="auto" w:fill="auto"/>
        <w:spacing w:before="120" w:after="120" w:line="240" w:lineRule="auto"/>
        <w:ind w:firstLine="709"/>
        <w:jc w:val="both"/>
        <w:rPr>
          <w:rStyle w:val="Vnbnnidung2"/>
          <w:rFonts w:eastAsiaTheme="majorEastAsia"/>
          <w:b w:val="0"/>
          <w:sz w:val="28"/>
          <w:szCs w:val="28"/>
          <w:lang w:eastAsia="vi-VN"/>
        </w:rPr>
      </w:pPr>
      <w:r w:rsidRPr="007C6AF6">
        <w:rPr>
          <w:rStyle w:val="Vnbnnidung2Innghing"/>
          <w:rFonts w:eastAsiaTheme="majorEastAsia"/>
          <w:sz w:val="28"/>
          <w:szCs w:val="28"/>
          <w:lang w:eastAsia="vi-VN"/>
        </w:rPr>
        <w:t>- Các khoản thu khác còn lại:</w:t>
      </w:r>
      <w:r w:rsidRPr="007C6AF6">
        <w:rPr>
          <w:rStyle w:val="Vnbnnidung2"/>
          <w:rFonts w:eastAsiaTheme="majorEastAsia"/>
          <w:sz w:val="28"/>
          <w:szCs w:val="28"/>
          <w:lang w:eastAsia="vi-VN"/>
        </w:rPr>
        <w:t xml:space="preserve"> ước thực hiện cả năm 2.799 triệu đồng, đạt 140% dự toán tỉnh và huyện giao và bằng 115% so cùng kỳ.</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25"/>
          <w:sz w:val="28"/>
          <w:szCs w:val="28"/>
          <w:lang w:eastAsia="vi-VN"/>
        </w:rPr>
        <w:t>2. Thu ngân sách toàn huyện</w:t>
      </w:r>
    </w:p>
    <w:p w:rsidR="005D6976" w:rsidRPr="007C6AF6" w:rsidRDefault="005D6976" w:rsidP="005D6976">
      <w:pPr>
        <w:pStyle w:val="Vnbnnidung21"/>
        <w:shd w:val="clear" w:color="auto" w:fill="auto"/>
        <w:spacing w:before="120" w:after="120" w:line="240" w:lineRule="auto"/>
        <w:ind w:firstLine="709"/>
        <w:jc w:val="both"/>
        <w:rPr>
          <w:b/>
          <w:sz w:val="28"/>
          <w:szCs w:val="28"/>
        </w:rPr>
      </w:pPr>
      <w:r w:rsidRPr="007C6AF6">
        <w:rPr>
          <w:rStyle w:val="Vnbnnidung2"/>
          <w:rFonts w:eastAsiaTheme="majorEastAsia"/>
          <w:sz w:val="28"/>
          <w:szCs w:val="28"/>
          <w:lang w:eastAsia="vi-VN"/>
        </w:rPr>
        <w:t xml:space="preserve">Tổng thu ngân sách nhà nước trên địa bàn huyện được UBND tỉnh giao là 259.439 triệu đồng </w:t>
      </w:r>
      <w:r w:rsidRPr="007C6AF6">
        <w:rPr>
          <w:rStyle w:val="Vnbnnidung2"/>
          <w:rFonts w:eastAsiaTheme="majorEastAsia"/>
          <w:i/>
          <w:sz w:val="28"/>
          <w:szCs w:val="28"/>
          <w:lang w:eastAsia="vi-VN"/>
        </w:rPr>
        <w:t>(tăng hơn 15,27% so với năm 2016).</w:t>
      </w:r>
      <w:r w:rsidRPr="007C6AF6">
        <w:rPr>
          <w:rStyle w:val="Vnbnnidung2"/>
          <w:rFonts w:eastAsiaTheme="majorEastAsia"/>
          <w:sz w:val="28"/>
          <w:szCs w:val="28"/>
          <w:lang w:eastAsia="vi-VN"/>
        </w:rPr>
        <w:t xml:space="preserve"> Trong đó, thu bổ sung cân đối 190.373 triệu đồng, thu bổ sung có mục tiêu là 20.440 triệu đồng, thu ngân sách được hưởng theo phân cấp 48.176 triệu đồng và các khoản ghi thu, ghi chi là 450 triệu đồng.</w:t>
      </w:r>
    </w:p>
    <w:p w:rsidR="005D6976" w:rsidRPr="007C6AF6" w:rsidRDefault="005D6976" w:rsidP="005D6976">
      <w:pPr>
        <w:pStyle w:val="Vnbnnidung21"/>
        <w:shd w:val="clear" w:color="auto" w:fill="auto"/>
        <w:spacing w:before="120" w:after="120" w:line="240" w:lineRule="auto"/>
        <w:ind w:firstLine="709"/>
        <w:jc w:val="both"/>
        <w:rPr>
          <w:b/>
          <w:sz w:val="28"/>
          <w:szCs w:val="28"/>
        </w:rPr>
      </w:pPr>
      <w:r w:rsidRPr="007C6AF6">
        <w:rPr>
          <w:rStyle w:val="Vnbnnidung2"/>
          <w:rFonts w:eastAsiaTheme="majorEastAsia"/>
          <w:sz w:val="28"/>
          <w:szCs w:val="28"/>
          <w:lang w:eastAsia="vi-VN"/>
        </w:rPr>
        <w:t>Đến ngày 10/12/2017 thực hiện được 306.980 triệu đồng, đạt 116% kế hoạch. Ước cả năm là 375.031 triệu đồng, đạt 142% kế hoạch. Trong đó thu ngân sách trên địa bàn là 65.047 triệu đồng, đạt 123% kế hoạch giao. Thu bổ sung ngân sách là 267.834 triệu đồng, đạt 127% dự toán; thu chuyển nguồn kết dư 40.676 triệu đồng; thu chuyển giao ngân sách 1.022,86 triệu đồng và các khoản ghi thu, ghi chi 450 triệu đồng.</w:t>
      </w:r>
    </w:p>
    <w:p w:rsidR="005D6976" w:rsidRPr="007C6AF6" w:rsidRDefault="005D6976" w:rsidP="005D6976">
      <w:pPr>
        <w:pStyle w:val="Vnbnnidung251"/>
        <w:shd w:val="clear" w:color="auto" w:fill="auto"/>
        <w:spacing w:before="120" w:after="120" w:line="240" w:lineRule="auto"/>
        <w:ind w:firstLine="709"/>
        <w:rPr>
          <w:b w:val="0"/>
          <w:sz w:val="28"/>
          <w:szCs w:val="28"/>
        </w:rPr>
      </w:pPr>
      <w:r w:rsidRPr="007C6AF6">
        <w:rPr>
          <w:rStyle w:val="Vnbnnidung25"/>
          <w:sz w:val="28"/>
          <w:szCs w:val="28"/>
          <w:lang w:eastAsia="vi-VN"/>
        </w:rPr>
        <w:t>II. Kết quả thực hiện chỉ ngân sách nhà nước của huyện</w:t>
      </w:r>
    </w:p>
    <w:p w:rsidR="005D6976" w:rsidRPr="007C6AF6" w:rsidRDefault="005D6976" w:rsidP="005D6976">
      <w:pPr>
        <w:pStyle w:val="Vnbnnidung21"/>
        <w:shd w:val="clear" w:color="auto" w:fill="auto"/>
        <w:spacing w:before="120" w:after="120" w:line="240" w:lineRule="auto"/>
        <w:ind w:firstLine="709"/>
        <w:jc w:val="both"/>
        <w:rPr>
          <w:b/>
          <w:sz w:val="28"/>
          <w:szCs w:val="28"/>
        </w:rPr>
      </w:pPr>
      <w:r w:rsidRPr="007C6AF6">
        <w:rPr>
          <w:rStyle w:val="Vnbnnidung2"/>
          <w:rFonts w:eastAsiaTheme="majorEastAsia"/>
          <w:sz w:val="28"/>
          <w:szCs w:val="28"/>
          <w:lang w:eastAsia="vi-VN"/>
        </w:rPr>
        <w:t xml:space="preserve">Theo kế hoạch UBND tỉnh giao là 259.439 triệu đồng, trong đó chi cân đối ngân sách là 238.549 triệu đồng, bổ sung có mục tiêu là 20.440 triệu đồng, chi quản lý qua ngân sách nhà nước là 450 triệu đồng. Để đáp ứng các hoạt động của huyện, HĐND huyện giao 264.083 triệu đồng, tăng 4.644 triệu đồng </w:t>
      </w:r>
      <w:r w:rsidRPr="007C6AF6">
        <w:rPr>
          <w:rStyle w:val="Vnbnnidung2"/>
          <w:rFonts w:eastAsiaTheme="majorEastAsia"/>
          <w:i/>
          <w:sz w:val="28"/>
          <w:szCs w:val="28"/>
          <w:lang w:eastAsia="vi-VN"/>
        </w:rPr>
        <w:t xml:space="preserve">(tăng 17,9% so với tỉnh giao). </w:t>
      </w:r>
      <w:r w:rsidRPr="007C6AF6">
        <w:rPr>
          <w:rStyle w:val="Vnbnnidung2"/>
          <w:rFonts w:eastAsiaTheme="majorEastAsia"/>
          <w:sz w:val="28"/>
          <w:szCs w:val="28"/>
          <w:lang w:eastAsia="vi-VN"/>
        </w:rPr>
        <w:t>Sau khi rà soát lại các nhiệm vụ chi cho phù hợp với các quy định, UBND huyện điều chỉnh lại 361.782 triệu đồng.</w:t>
      </w:r>
    </w:p>
    <w:p w:rsidR="005D6976" w:rsidRPr="007C6AF6" w:rsidRDefault="005D6976" w:rsidP="005D6976">
      <w:pPr>
        <w:pStyle w:val="Vnbnnidung21"/>
        <w:shd w:val="clear" w:color="auto" w:fill="auto"/>
        <w:spacing w:before="120" w:after="120" w:line="240" w:lineRule="auto"/>
        <w:ind w:firstLine="709"/>
        <w:jc w:val="both"/>
        <w:rPr>
          <w:rStyle w:val="Vnbnnidung2"/>
          <w:rFonts w:eastAsiaTheme="majorEastAsia"/>
          <w:b w:val="0"/>
          <w:sz w:val="28"/>
          <w:szCs w:val="28"/>
          <w:lang w:eastAsia="vi-VN"/>
        </w:rPr>
      </w:pPr>
      <w:r w:rsidRPr="007C6AF6">
        <w:rPr>
          <w:rStyle w:val="Vnbnnidung2"/>
          <w:rFonts w:eastAsiaTheme="majorEastAsia"/>
          <w:sz w:val="28"/>
          <w:szCs w:val="28"/>
          <w:lang w:eastAsia="vi-VN"/>
        </w:rPr>
        <w:t xml:space="preserve">Đến ngày 10/12/2017, tổng chi ngân sách theo kế hoạch giao đầu năm là 247.891 triệu đồng, đạt 94% kế hoạch. Trong đó: chi đầu tư phát triển là 35.585 triệu đồng, đạt 126% kế hoạch; chi thường xuyên là 212.306 triệu đồng, đạt 92% kế hoạch. Ước thực hiện cả năm đạt 361.782 triệu đồng </w:t>
      </w:r>
      <w:r w:rsidRPr="007C6AF6">
        <w:rPr>
          <w:rStyle w:val="Vnbnnidung2"/>
          <w:rFonts w:eastAsiaTheme="majorEastAsia"/>
          <w:i/>
          <w:sz w:val="28"/>
          <w:szCs w:val="28"/>
          <w:lang w:eastAsia="vi-VN"/>
        </w:rPr>
        <w:t>(đạt 100% kế hoạch giao),</w:t>
      </w:r>
      <w:r w:rsidRPr="007C6AF6">
        <w:rPr>
          <w:rStyle w:val="Vnbnnidung2"/>
          <w:rFonts w:eastAsiaTheme="majorEastAsia"/>
          <w:sz w:val="28"/>
          <w:szCs w:val="28"/>
          <w:lang w:eastAsia="vi-VN"/>
        </w:rPr>
        <w:t xml:space="preserve"> gồm chi đầu tư phát triển là 79.820 triệu đồng, chi thường xuyên là 276.392 triệu đồng.</w:t>
      </w:r>
    </w:p>
    <w:p w:rsidR="005D6976" w:rsidRPr="007C6AF6" w:rsidRDefault="005D6976" w:rsidP="005D6976">
      <w:pPr>
        <w:pStyle w:val="Vnbnnidung21"/>
        <w:shd w:val="clear" w:color="auto" w:fill="auto"/>
        <w:spacing w:before="120" w:after="120" w:line="240" w:lineRule="auto"/>
        <w:ind w:firstLine="709"/>
        <w:jc w:val="both"/>
        <w:rPr>
          <w:sz w:val="28"/>
          <w:szCs w:val="28"/>
        </w:rPr>
      </w:pPr>
      <w:r w:rsidRPr="007C6AF6">
        <w:rPr>
          <w:rStyle w:val="Vnbnnidung2"/>
          <w:rFonts w:eastAsiaTheme="majorEastAsia"/>
          <w:sz w:val="28"/>
          <w:szCs w:val="28"/>
          <w:lang w:eastAsia="vi-VN"/>
        </w:rPr>
        <w:t xml:space="preserve">III. </w:t>
      </w:r>
      <w:r w:rsidRPr="007C6AF6">
        <w:rPr>
          <w:rStyle w:val="Vnbnnidung25"/>
          <w:sz w:val="28"/>
          <w:szCs w:val="28"/>
          <w:lang w:eastAsia="vi-VN"/>
        </w:rPr>
        <w:t>Đánh giá tình hình thực hiện nhiệm vụ thu chi ngân sách nhà nước trên địa bàn huyện</w:t>
      </w:r>
    </w:p>
    <w:p w:rsidR="005D6976" w:rsidRPr="007C6AF6" w:rsidRDefault="005D6976" w:rsidP="005D6976">
      <w:pPr>
        <w:pStyle w:val="Vnbnnidung21"/>
        <w:shd w:val="clear" w:color="auto" w:fill="auto"/>
        <w:spacing w:before="120" w:after="120" w:line="240" w:lineRule="auto"/>
        <w:ind w:firstLine="709"/>
        <w:jc w:val="both"/>
        <w:rPr>
          <w:b/>
          <w:sz w:val="28"/>
          <w:szCs w:val="28"/>
        </w:rPr>
      </w:pPr>
      <w:r w:rsidRPr="007C6AF6">
        <w:rPr>
          <w:rStyle w:val="Vnbnnidung2"/>
          <w:rFonts w:eastAsiaTheme="majorEastAsia"/>
          <w:sz w:val="28"/>
          <w:szCs w:val="28"/>
          <w:lang w:eastAsia="vi-VN"/>
        </w:rPr>
        <w:t xml:space="preserve">Năm 2017 là năm đầu thực hiện ổn định giai đoạn 2017-2020 và cũng là năm thứ 2 thực hiện Luật ngân sách Nhà nước. Trong bối cảnh tình hình kinh tế trong nước và thế giới có những chuyển biến phức tạp, giá cả không ổn định, nhiều sản phẩm chủ lực trên địa bàn </w:t>
      </w:r>
      <w:r w:rsidRPr="007C6AF6">
        <w:rPr>
          <w:rStyle w:val="Vnbnnidung2"/>
          <w:rFonts w:eastAsiaTheme="majorEastAsia"/>
          <w:i/>
          <w:sz w:val="28"/>
          <w:szCs w:val="28"/>
          <w:lang w:eastAsia="vi-VN"/>
        </w:rPr>
        <w:t>(cao su, thịt lợn, thịt bò...)</w:t>
      </w:r>
      <w:r w:rsidRPr="007C6AF6">
        <w:rPr>
          <w:rStyle w:val="Vnbnnidung2"/>
          <w:rFonts w:eastAsiaTheme="majorEastAsia"/>
          <w:sz w:val="28"/>
          <w:szCs w:val="28"/>
          <w:lang w:eastAsia="vi-VN"/>
        </w:rPr>
        <w:t xml:space="preserve"> xuống thấp đã ảnh hưởng đến sản xuất và đời sống người dân, tác động đến các hoạt động kinh tế, thương mại, dịch vụ và công nghiệp xây dựng của huyện. Đặc biệt là ảnh hưởng đến sản xuất kinh doanh của các nhà máy chế biến trên địa bàn. Đây là nguồn thu ngân sách chủ lực của huyện. Bên cạnh đó, vốn đầu tư công năm 2017 thấp hơn so với các năm trước và các hoạt động đầu tư trong dân có phần chậm lại.</w:t>
      </w:r>
    </w:p>
    <w:p w:rsidR="005D6976" w:rsidRPr="007C6AF6" w:rsidRDefault="005D6976" w:rsidP="005D6976">
      <w:pPr>
        <w:pStyle w:val="Vnbnnidung21"/>
        <w:shd w:val="clear" w:color="auto" w:fill="auto"/>
        <w:spacing w:before="120" w:after="120" w:line="240" w:lineRule="auto"/>
        <w:ind w:firstLine="709"/>
        <w:jc w:val="both"/>
        <w:rPr>
          <w:i/>
          <w:sz w:val="28"/>
          <w:szCs w:val="28"/>
        </w:rPr>
      </w:pPr>
      <w:r w:rsidRPr="007C6AF6">
        <w:rPr>
          <w:rStyle w:val="Vnbnnidung2"/>
          <w:rFonts w:eastAsiaTheme="majorEastAsia"/>
          <w:sz w:val="28"/>
          <w:szCs w:val="28"/>
          <w:lang w:eastAsia="vi-VN"/>
        </w:rPr>
        <w:t xml:space="preserve">Dự báo được tình hình khó khăn trên, ngay từ đầu năm 2017, Ban </w:t>
      </w:r>
      <w:r w:rsidRPr="007C6AF6">
        <w:rPr>
          <w:rStyle w:val="Vnbnnidung2"/>
          <w:rFonts w:eastAsiaTheme="majorEastAsia"/>
          <w:sz w:val="28"/>
          <w:szCs w:val="28"/>
          <w:lang w:eastAsia="vi-VN"/>
        </w:rPr>
        <w:lastRenderedPageBreak/>
        <w:t xml:space="preserve">Thường vụ Huyện ủy, HĐND huyện, UBND huyện và các cơ quan đã tập trung lãnh đạo, chỉ đạo và có giải pháp quyết liệt trong điều hành ngân sách, chú trọng khai thác triệt để các </w:t>
      </w:r>
      <w:r w:rsidRPr="007C6AF6">
        <w:rPr>
          <w:rStyle w:val="Vnbnnidung4"/>
          <w:rFonts w:eastAsiaTheme="majorEastAsia"/>
          <w:sz w:val="28"/>
          <w:lang w:eastAsia="vi-VN"/>
        </w:rPr>
        <w:t>nguồn thu, chống thất thu thuế và tăng cường các giải pháp thu nợ đọng thuế nên đã đạt được nhiều mặt tích cực. Công tác thu ngân sách Nhà nước để cân đối nhiệm vụ chi cho địa phương dự kiến vượt 47% so với kế hoạch tỉnh giao và vượt 33% so với kế hoạch HĐND huyện giao. Các lĩnh vực thu đạt khá cao như là thu từ các thành phần kinh tế ngoài quốc doanh, thuế thu nhập cá nhân, lệ phí trước bạ. Đặc biệt là thu tiền sử dụng đất, sau khi loại trừ tiền bán đấu giá được 5.746 triệu đồng (tăng 10,07% kế hoạch). Đây là giải pháp quyết liệt của UBND huyện, UBND các xã, thị trấn và các cơ quan liên quan trong công tác tuyên truyền, vận động, tạo điều kiện cho người dân thực hiện quyền và nghĩa vụ trong việc sử dụng đất và công tác quản lý nhà nước, quy hoạch, trật tự xây dựng.</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
          <w:rFonts w:eastAsiaTheme="majorEastAsia"/>
          <w:sz w:val="28"/>
          <w:lang w:eastAsia="vi-VN"/>
        </w:rPr>
        <w:t>Bên cạnh đó, một số lĩnh vực thu ngân sách cũng chưa đạt yêu cầu đề ra do những nguyên nhân khách quan như việc đóng cửa rừng của Chính phủ không cho tận thu khai thác lâm sản và một số loại phí phải chuyển đối sang giá dịch vụ theo quy định pháp luật. Do vậy một số ngành như doanh nhiệp nhà nước tại địa phương (64% kế hoạch), thu phí và lệ phí (54% kế hoạch). Nợ đọng thuế chưa được xử lý triệt để, tổng nợ đọng thuế đến ngày 23/10/2017 là 3.090 triệu đồng, tăng 350 triệu đồng so với năm 2016. Trong đó nợ khó thu là 2.234 triệu đồng. Nợ đọng này chủ yếu rơi vào những doang nghiệp thua lỗ, một số doanh nghiệp hiện đã giải thể không hoạt động.</w:t>
      </w:r>
    </w:p>
    <w:p w:rsidR="005D6976" w:rsidRPr="007C6AF6" w:rsidRDefault="005D6976" w:rsidP="005D6976">
      <w:pPr>
        <w:pStyle w:val="Vnbnnidung41"/>
        <w:shd w:val="clear" w:color="auto" w:fill="auto"/>
        <w:spacing w:before="120" w:after="120" w:line="240" w:lineRule="auto"/>
        <w:ind w:firstLine="709"/>
        <w:jc w:val="both"/>
        <w:rPr>
          <w:i/>
          <w:sz w:val="28"/>
          <w:szCs w:val="28"/>
        </w:rPr>
      </w:pPr>
      <w:r w:rsidRPr="007C6AF6">
        <w:rPr>
          <w:rStyle w:val="Vnbnnidung4"/>
          <w:rFonts w:eastAsiaTheme="majorEastAsia"/>
          <w:sz w:val="28"/>
          <w:lang w:eastAsia="vi-VN"/>
        </w:rPr>
        <w:t>Tình hình chi ngân sách nhà nước của huyện: Với điều kiện khó khăn của huyện, các nguồn thu để cân đối chỉ đạt khoảng 20% so với nhu cầu nhiệm vụ chi. Do vậy, khi xây dựng kế hoạch chi ngân sách, UBND huyện đã thực hiện những nhiệm vụ chi cần thiết trên tinh thần tiết kiệm, ưu tiên đảm bảo quỹ lương hoạt động bộ máy, các chính sách an sinh xã hội, quốc phòng an ninh của huyện và những nhiệm vụ chi quan trọng mang tính cấp bách như thiên tai, dịch bệnh. Quá trình điều hành chi ngân sách, UBND huyện tập trung chỉ đạo và thực hiện chi đúng quy định nhà nước, hạn chế phát sinh nhiệm vụ chi và trình Thường trực HĐND huyện xem xét bổ sung nhiệm vụ cấp thiết đáp ứng yêu cầu phát triển kinh tế - xã hội của địa phương, tổ chức quản lý chi tiêu chặt chẽ, nâng cao trách nhiệm người đứng đầu của các cơ quan được giao nhiệm vụ.</w:t>
      </w:r>
    </w:p>
    <w:p w:rsidR="005D6976" w:rsidRPr="007C6AF6" w:rsidRDefault="005D6976" w:rsidP="005D6976">
      <w:pPr>
        <w:pStyle w:val="Vnbnnidung41"/>
        <w:shd w:val="clear" w:color="auto" w:fill="auto"/>
        <w:spacing w:before="120" w:after="120" w:line="240" w:lineRule="auto"/>
        <w:ind w:firstLine="709"/>
        <w:jc w:val="both"/>
        <w:rPr>
          <w:rStyle w:val="Vnbnnidung4"/>
          <w:rFonts w:eastAsiaTheme="majorEastAsia"/>
          <w:i w:val="0"/>
          <w:sz w:val="28"/>
          <w:lang w:eastAsia="vi-VN"/>
        </w:rPr>
      </w:pPr>
      <w:r w:rsidRPr="007C6AF6">
        <w:rPr>
          <w:rStyle w:val="Vnbnnidung4"/>
          <w:rFonts w:eastAsiaTheme="majorEastAsia"/>
          <w:sz w:val="28"/>
          <w:lang w:eastAsia="vi-VN"/>
        </w:rPr>
        <w:t>Trên đây là báo cáo đánh giá tình hình thực hiện dự toán thu, chi ngân sách năm 2017, UBND huyện báo cáo trình kỳ họp Hội đồng nhân dân huyện khoá X, kỳ họp thứ 5./.</w:t>
      </w:r>
    </w:p>
    <w:tbl>
      <w:tblPr>
        <w:tblW w:w="9599" w:type="dxa"/>
        <w:tblInd w:w="108" w:type="dxa"/>
        <w:tblLook w:val="04A0"/>
      </w:tblPr>
      <w:tblGrid>
        <w:gridCol w:w="4654"/>
        <w:gridCol w:w="4945"/>
      </w:tblGrid>
      <w:tr w:rsidR="005D6976" w:rsidRPr="007C6AF6" w:rsidTr="004E3FBB">
        <w:trPr>
          <w:trHeight w:val="1772"/>
        </w:trPr>
        <w:tc>
          <w:tcPr>
            <w:tcW w:w="4654" w:type="dxa"/>
          </w:tcPr>
          <w:p w:rsidR="005D6976" w:rsidRPr="00B456F4" w:rsidRDefault="005D6976" w:rsidP="004E3FBB">
            <w:pPr>
              <w:jc w:val="both"/>
              <w:rPr>
                <w:bCs/>
                <w:color w:val="auto"/>
                <w:sz w:val="24"/>
              </w:rPr>
            </w:pPr>
            <w:r w:rsidRPr="00B456F4">
              <w:rPr>
                <w:b/>
                <w:i/>
                <w:iCs/>
                <w:color w:val="auto"/>
                <w:sz w:val="24"/>
              </w:rPr>
              <w:t>Nơi nhận</w:t>
            </w:r>
            <w:r w:rsidRPr="00B456F4">
              <w:rPr>
                <w:bCs/>
                <w:color w:val="auto"/>
                <w:sz w:val="24"/>
              </w:rPr>
              <w:t>:</w:t>
            </w:r>
          </w:p>
          <w:p w:rsidR="005D6976" w:rsidRPr="00B456F4" w:rsidRDefault="005D6976" w:rsidP="004E3FBB">
            <w:pPr>
              <w:jc w:val="both"/>
              <w:rPr>
                <w:bCs/>
                <w:color w:val="auto"/>
                <w:sz w:val="22"/>
              </w:rPr>
            </w:pPr>
            <w:r w:rsidRPr="00B456F4">
              <w:rPr>
                <w:bCs/>
                <w:color w:val="auto"/>
                <w:sz w:val="22"/>
                <w:szCs w:val="22"/>
              </w:rPr>
              <w:t>- TT Huyện ủy;</w:t>
            </w:r>
          </w:p>
          <w:p w:rsidR="005D6976" w:rsidRPr="00B456F4" w:rsidRDefault="005D6976" w:rsidP="004E3FBB">
            <w:pPr>
              <w:jc w:val="both"/>
              <w:rPr>
                <w:bCs/>
                <w:color w:val="auto"/>
                <w:sz w:val="22"/>
              </w:rPr>
            </w:pPr>
            <w:r w:rsidRPr="00B456F4">
              <w:rPr>
                <w:bCs/>
                <w:color w:val="auto"/>
                <w:sz w:val="22"/>
                <w:szCs w:val="22"/>
              </w:rPr>
              <w:t>- HĐND huyện;</w:t>
            </w:r>
          </w:p>
          <w:p w:rsidR="005D6976" w:rsidRPr="00B456F4" w:rsidRDefault="005D6976" w:rsidP="004E3FBB">
            <w:pPr>
              <w:jc w:val="both"/>
              <w:rPr>
                <w:bCs/>
                <w:color w:val="auto"/>
                <w:sz w:val="22"/>
              </w:rPr>
            </w:pPr>
            <w:r w:rsidRPr="00B456F4">
              <w:rPr>
                <w:bCs/>
                <w:color w:val="auto"/>
                <w:sz w:val="22"/>
                <w:szCs w:val="22"/>
              </w:rPr>
              <w:t>- CT, các PCT UBND huyện;</w:t>
            </w:r>
          </w:p>
          <w:p w:rsidR="005D6976" w:rsidRPr="007C6AF6" w:rsidRDefault="005D6976" w:rsidP="004E3FBB">
            <w:pPr>
              <w:widowControl w:val="0"/>
              <w:jc w:val="both"/>
              <w:rPr>
                <w:bCs/>
                <w:color w:val="auto"/>
                <w:szCs w:val="28"/>
                <w:lang w:val="vi-VN" w:eastAsia="vi-VN" w:bidi="vi-VN"/>
              </w:rPr>
            </w:pPr>
            <w:r w:rsidRPr="00B456F4">
              <w:rPr>
                <w:bCs/>
                <w:color w:val="auto"/>
                <w:sz w:val="22"/>
                <w:szCs w:val="22"/>
              </w:rPr>
              <w:t>- Lưu: VT-LT.</w:t>
            </w:r>
          </w:p>
        </w:tc>
        <w:tc>
          <w:tcPr>
            <w:tcW w:w="4945" w:type="dxa"/>
          </w:tcPr>
          <w:p w:rsidR="005D6976" w:rsidRPr="007C6AF6" w:rsidRDefault="005D6976" w:rsidP="004E3FBB">
            <w:pPr>
              <w:jc w:val="center"/>
              <w:rPr>
                <w:b/>
                <w:bCs/>
                <w:color w:val="auto"/>
                <w:szCs w:val="28"/>
              </w:rPr>
            </w:pPr>
            <w:r w:rsidRPr="007C6AF6">
              <w:rPr>
                <w:b/>
                <w:bCs/>
                <w:color w:val="auto"/>
                <w:szCs w:val="28"/>
              </w:rPr>
              <w:t>TM. UỶ BAN NHÂN DÂN</w:t>
            </w:r>
          </w:p>
          <w:p w:rsidR="005D6976" w:rsidRPr="007C6AF6" w:rsidRDefault="005D6976" w:rsidP="004E3FBB">
            <w:pPr>
              <w:jc w:val="center"/>
              <w:rPr>
                <w:b/>
                <w:color w:val="auto"/>
                <w:szCs w:val="28"/>
              </w:rPr>
            </w:pPr>
            <w:r w:rsidRPr="007C6AF6">
              <w:rPr>
                <w:b/>
                <w:color w:val="auto"/>
                <w:szCs w:val="28"/>
              </w:rPr>
              <w:t>CHỦ TỊCH</w:t>
            </w:r>
          </w:p>
          <w:p w:rsidR="005D6976" w:rsidRPr="007C6AF6" w:rsidRDefault="005D6976" w:rsidP="004E3FBB">
            <w:pPr>
              <w:widowControl w:val="0"/>
              <w:jc w:val="center"/>
              <w:rPr>
                <w:b/>
                <w:bCs/>
                <w:color w:val="auto"/>
                <w:szCs w:val="28"/>
                <w:lang w:eastAsia="vi-VN" w:bidi="vi-VN"/>
              </w:rPr>
            </w:pPr>
            <w:r w:rsidRPr="007C6AF6">
              <w:rPr>
                <w:b/>
                <w:bCs/>
                <w:color w:val="auto"/>
                <w:szCs w:val="28"/>
                <w:lang w:eastAsia="vi-VN" w:bidi="vi-VN"/>
              </w:rPr>
              <w:t xml:space="preserve"> (Đã ký)</w:t>
            </w:r>
          </w:p>
          <w:p w:rsidR="005D6976" w:rsidRPr="007C6AF6" w:rsidRDefault="005D6976" w:rsidP="004E3FBB">
            <w:pPr>
              <w:widowControl w:val="0"/>
              <w:jc w:val="center"/>
              <w:rPr>
                <w:b/>
                <w:bCs/>
                <w:color w:val="auto"/>
                <w:szCs w:val="28"/>
                <w:lang w:eastAsia="vi-VN" w:bidi="vi-VN"/>
              </w:rPr>
            </w:pPr>
          </w:p>
          <w:p w:rsidR="005D6976" w:rsidRPr="007C6AF6" w:rsidRDefault="005D6976" w:rsidP="004E3FBB">
            <w:pPr>
              <w:widowControl w:val="0"/>
              <w:jc w:val="center"/>
              <w:rPr>
                <w:b/>
                <w:bCs/>
                <w:color w:val="auto"/>
                <w:szCs w:val="28"/>
                <w:lang w:eastAsia="vi-VN" w:bidi="vi-VN"/>
              </w:rPr>
            </w:pPr>
            <w:r w:rsidRPr="007C6AF6">
              <w:rPr>
                <w:b/>
                <w:bCs/>
                <w:color w:val="auto"/>
                <w:szCs w:val="28"/>
                <w:lang w:eastAsia="vi-VN" w:bidi="vi-VN"/>
              </w:rPr>
              <w:t>Nguyễn Ngọc Sâm</w:t>
            </w:r>
          </w:p>
        </w:tc>
      </w:tr>
    </w:tbl>
    <w:p w:rsidR="005D6976" w:rsidRPr="007C6AF6" w:rsidRDefault="005D6976" w:rsidP="005D6976">
      <w:pPr>
        <w:pStyle w:val="Vnbnnidung41"/>
        <w:shd w:val="clear" w:color="auto" w:fill="auto"/>
        <w:spacing w:before="120" w:after="120" w:line="240" w:lineRule="auto"/>
        <w:ind w:firstLine="709"/>
        <w:jc w:val="both"/>
        <w:rPr>
          <w:i/>
          <w:sz w:val="28"/>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5D697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6976"/>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76"/>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sid w:val="005D6976"/>
    <w:rPr>
      <w:rFonts w:eastAsia="Times New Roman" w:cs="Times New Roman"/>
      <w:i/>
      <w:iCs/>
      <w:szCs w:val="28"/>
      <w:shd w:val="clear" w:color="auto" w:fill="FFFFFF"/>
    </w:rPr>
  </w:style>
  <w:style w:type="paragraph" w:customStyle="1" w:styleId="Vnbnnidung40">
    <w:name w:val="Văn bản nội dung (4)"/>
    <w:basedOn w:val="Normal"/>
    <w:link w:val="Vnbnnidung4"/>
    <w:rsid w:val="005D6976"/>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5D6976"/>
    <w:rPr>
      <w:rFonts w:eastAsia="Times New Roman" w:cs="Times New Roman"/>
      <w:b/>
      <w:bCs/>
      <w:shd w:val="clear" w:color="auto" w:fill="FFFFFF"/>
    </w:rPr>
  </w:style>
  <w:style w:type="paragraph" w:customStyle="1" w:styleId="Vnbnnidung20">
    <w:name w:val="Văn bản nội dung (2)"/>
    <w:basedOn w:val="Normal"/>
    <w:link w:val="Vnbnnidung2"/>
    <w:rsid w:val="005D6976"/>
    <w:pPr>
      <w:widowControl w:val="0"/>
      <w:shd w:val="clear" w:color="auto" w:fill="FFFFFF"/>
      <w:spacing w:after="180" w:line="392" w:lineRule="exact"/>
      <w:jc w:val="both"/>
    </w:pPr>
    <w:rPr>
      <w:b/>
      <w:bCs/>
      <w:color w:val="auto"/>
      <w:szCs w:val="22"/>
    </w:rPr>
  </w:style>
  <w:style w:type="paragraph" w:customStyle="1" w:styleId="Vnbnnidung41">
    <w:name w:val="Văn bản nội dung (4)1"/>
    <w:basedOn w:val="Normal"/>
    <w:uiPriority w:val="99"/>
    <w:rsid w:val="005D6976"/>
    <w:pPr>
      <w:widowControl w:val="0"/>
      <w:shd w:val="clear" w:color="auto" w:fill="FFFFFF"/>
      <w:spacing w:before="300" w:after="420" w:line="240" w:lineRule="atLeast"/>
      <w:jc w:val="center"/>
    </w:pPr>
    <w:rPr>
      <w:rFonts w:eastAsiaTheme="minorHAnsi"/>
      <w:color w:val="auto"/>
      <w:sz w:val="26"/>
      <w:szCs w:val="26"/>
    </w:rPr>
  </w:style>
  <w:style w:type="character" w:customStyle="1" w:styleId="Vnbnnidung2Innghing">
    <w:name w:val="Văn bản nội dung (2) + In nghiêng"/>
    <w:basedOn w:val="Vnbnnidung2"/>
    <w:rsid w:val="005D6976"/>
    <w:rPr>
      <w:i/>
      <w:iCs/>
      <w:sz w:val="26"/>
      <w:szCs w:val="26"/>
    </w:rPr>
  </w:style>
  <w:style w:type="character" w:customStyle="1" w:styleId="Vnbnnidung4Innghing">
    <w:name w:val="Văn bản nội dung (4) + In nghiêng"/>
    <w:basedOn w:val="Vnbnnidung4"/>
    <w:rsid w:val="005D6976"/>
    <w:rPr>
      <w:sz w:val="26"/>
      <w:szCs w:val="26"/>
    </w:rPr>
  </w:style>
  <w:style w:type="character" w:customStyle="1" w:styleId="Vnbnnidung25">
    <w:name w:val="Văn bản nội dung (25)_"/>
    <w:basedOn w:val="DefaultParagraphFont"/>
    <w:link w:val="Vnbnnidung251"/>
    <w:uiPriority w:val="99"/>
    <w:rsid w:val="005D6976"/>
    <w:rPr>
      <w:rFonts w:cs="Times New Roman"/>
      <w:b/>
      <w:bCs/>
      <w:sz w:val="26"/>
      <w:szCs w:val="26"/>
      <w:shd w:val="clear" w:color="auto" w:fill="FFFFFF"/>
    </w:rPr>
  </w:style>
  <w:style w:type="paragraph" w:customStyle="1" w:styleId="Vnbnnidung251">
    <w:name w:val="Văn bản nội dung (25)1"/>
    <w:basedOn w:val="Normal"/>
    <w:link w:val="Vnbnnidung25"/>
    <w:uiPriority w:val="99"/>
    <w:rsid w:val="005D6976"/>
    <w:pPr>
      <w:widowControl w:val="0"/>
      <w:shd w:val="clear" w:color="auto" w:fill="FFFFFF"/>
      <w:spacing w:line="320" w:lineRule="exact"/>
      <w:jc w:val="both"/>
    </w:pPr>
    <w:rPr>
      <w:rFonts w:eastAsiaTheme="minorHAnsi"/>
      <w:b/>
      <w:bCs/>
      <w:color w:val="auto"/>
      <w:sz w:val="26"/>
      <w:szCs w:val="26"/>
    </w:rPr>
  </w:style>
  <w:style w:type="paragraph" w:customStyle="1" w:styleId="Vnbnnidung21">
    <w:name w:val="Văn bản nội dung (2)1"/>
    <w:basedOn w:val="Normal"/>
    <w:uiPriority w:val="99"/>
    <w:rsid w:val="005D6976"/>
    <w:pPr>
      <w:widowControl w:val="0"/>
      <w:shd w:val="clear" w:color="auto" w:fill="FFFFFF"/>
      <w:spacing w:after="300" w:line="320" w:lineRule="exact"/>
      <w:jc w:val="center"/>
    </w:pPr>
    <w:rPr>
      <w:rFonts w:eastAsiaTheme="minorHAnsi"/>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6384</Characters>
  <Application>Microsoft Office Word</Application>
  <DocSecurity>0</DocSecurity>
  <Lines>53</Lines>
  <Paragraphs>14</Paragraphs>
  <ScaleCrop>false</ScaleCrop>
  <Company>Sky123.Org</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2018-05-27T10:38:00Z</dcterms:created>
  <dcterms:modified xsi:type="dcterms:W3CDTF">2018-05-27T10:38:00Z</dcterms:modified>
</cp:coreProperties>
</file>