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2" w:type="dxa"/>
        <w:tblInd w:w="108" w:type="dxa"/>
        <w:tblLook w:val="04A0"/>
      </w:tblPr>
      <w:tblGrid>
        <w:gridCol w:w="3499"/>
        <w:gridCol w:w="6123"/>
      </w:tblGrid>
      <w:tr w:rsidR="00E84642" w:rsidRPr="007C6AF6" w:rsidTr="004E3FBB">
        <w:trPr>
          <w:trHeight w:val="814"/>
        </w:trPr>
        <w:tc>
          <w:tcPr>
            <w:tcW w:w="3499" w:type="dxa"/>
            <w:hideMark/>
          </w:tcPr>
          <w:p w:rsidR="00E84642" w:rsidRPr="008B7BE1" w:rsidRDefault="00E84642" w:rsidP="004E3FBB">
            <w:pPr>
              <w:keepNext/>
              <w:jc w:val="center"/>
              <w:outlineLvl w:val="0"/>
              <w:rPr>
                <w:b/>
                <w:color w:val="auto"/>
                <w:sz w:val="26"/>
                <w:szCs w:val="26"/>
                <w:lang w:val="fr-FR"/>
              </w:rPr>
            </w:pPr>
            <w:r w:rsidRPr="008B7BE1">
              <w:rPr>
                <w:b/>
                <w:color w:val="auto"/>
                <w:sz w:val="26"/>
                <w:szCs w:val="26"/>
                <w:lang w:val="fr-FR"/>
              </w:rPr>
              <w:t>UỶ BAN NHÂN DÂN</w:t>
            </w:r>
          </w:p>
          <w:p w:rsidR="00E84642" w:rsidRPr="008B7BE1" w:rsidRDefault="00E84642" w:rsidP="004E3FBB">
            <w:pPr>
              <w:keepNext/>
              <w:jc w:val="center"/>
              <w:outlineLvl w:val="0"/>
              <w:rPr>
                <w:b/>
                <w:color w:val="auto"/>
                <w:sz w:val="26"/>
                <w:szCs w:val="26"/>
                <w:lang w:val="fr-FR"/>
              </w:rPr>
            </w:pPr>
            <w:r>
              <w:rPr>
                <w:b/>
                <w:noProof/>
                <w:color w:val="auto"/>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6.5pt;margin-top:17.7pt;width:38.15pt;height:0;z-index:251662336" o:connectortype="straight"/>
              </w:pict>
            </w:r>
            <w:r w:rsidRPr="008B7BE1">
              <w:rPr>
                <w:b/>
                <w:color w:val="auto"/>
                <w:sz w:val="26"/>
                <w:szCs w:val="26"/>
                <w:lang w:val="fr-FR"/>
              </w:rPr>
              <w:t>HUYỆN SA THẦY</w:t>
            </w:r>
          </w:p>
        </w:tc>
        <w:tc>
          <w:tcPr>
            <w:tcW w:w="6123" w:type="dxa"/>
            <w:hideMark/>
          </w:tcPr>
          <w:p w:rsidR="00E84642" w:rsidRPr="008B7BE1" w:rsidRDefault="00E84642" w:rsidP="004E3FBB">
            <w:pPr>
              <w:keepNext/>
              <w:jc w:val="center"/>
              <w:outlineLvl w:val="1"/>
              <w:rPr>
                <w:b/>
                <w:color w:val="auto"/>
                <w:sz w:val="26"/>
                <w:szCs w:val="26"/>
                <w:lang w:val="fr-FR"/>
              </w:rPr>
            </w:pPr>
            <w:r w:rsidRPr="008B7BE1">
              <w:rPr>
                <w:b/>
                <w:color w:val="auto"/>
                <w:sz w:val="26"/>
                <w:szCs w:val="26"/>
                <w:lang w:val="fr-FR"/>
              </w:rPr>
              <w:t>CỘNG HÒA XÃ HỘI CHỦ NGHĨA VIỆT NAM</w:t>
            </w:r>
          </w:p>
          <w:p w:rsidR="00E84642" w:rsidRPr="007C6AF6" w:rsidRDefault="00E84642" w:rsidP="004E3FBB">
            <w:pPr>
              <w:keepNext/>
              <w:jc w:val="center"/>
              <w:outlineLvl w:val="1"/>
              <w:rPr>
                <w:b/>
                <w:color w:val="auto"/>
                <w:szCs w:val="28"/>
              </w:rPr>
            </w:pPr>
            <w:r w:rsidRPr="00942320">
              <w:rPr>
                <w:szCs w:val="28"/>
              </w:rPr>
              <w:pict>
                <v:shape id="_x0000_s1026" type="#_x0000_t32" style="position:absolute;left:0;text-align:left;margin-left:61.05pt;margin-top:17.7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C6AF6">
              <w:rPr>
                <w:b/>
                <w:color w:val="auto"/>
                <w:szCs w:val="28"/>
              </w:rPr>
              <w:t xml:space="preserve">Độc lập </w:t>
            </w:r>
            <w:r w:rsidRPr="007C6AF6">
              <w:rPr>
                <w:color w:val="auto"/>
                <w:szCs w:val="28"/>
              </w:rPr>
              <w:t>-</w:t>
            </w:r>
            <w:r w:rsidRPr="007C6AF6">
              <w:rPr>
                <w:b/>
                <w:color w:val="auto"/>
                <w:szCs w:val="28"/>
              </w:rPr>
              <w:t xml:space="preserve"> Tự do </w:t>
            </w:r>
            <w:r w:rsidRPr="007C6AF6">
              <w:rPr>
                <w:color w:val="auto"/>
                <w:szCs w:val="28"/>
              </w:rPr>
              <w:t>-</w:t>
            </w:r>
            <w:r w:rsidRPr="007C6AF6">
              <w:rPr>
                <w:b/>
                <w:color w:val="auto"/>
                <w:szCs w:val="28"/>
              </w:rPr>
              <w:t xml:space="preserve"> Hạnh phúc</w:t>
            </w:r>
          </w:p>
        </w:tc>
      </w:tr>
      <w:tr w:rsidR="00E84642" w:rsidRPr="007C6AF6" w:rsidTr="004E3FBB">
        <w:trPr>
          <w:trHeight w:val="156"/>
        </w:trPr>
        <w:tc>
          <w:tcPr>
            <w:tcW w:w="3499" w:type="dxa"/>
            <w:hideMark/>
          </w:tcPr>
          <w:p w:rsidR="00E84642" w:rsidRPr="008B7BE1" w:rsidRDefault="00E84642" w:rsidP="004E3FBB">
            <w:pPr>
              <w:jc w:val="center"/>
              <w:rPr>
                <w:bCs/>
                <w:color w:val="auto"/>
                <w:sz w:val="26"/>
                <w:szCs w:val="26"/>
              </w:rPr>
            </w:pPr>
            <w:r w:rsidRPr="008B7BE1">
              <w:rPr>
                <w:bCs/>
                <w:color w:val="auto"/>
                <w:sz w:val="26"/>
                <w:szCs w:val="26"/>
              </w:rPr>
              <w:t>Số: 523/BC-UBND</w:t>
            </w:r>
          </w:p>
        </w:tc>
        <w:tc>
          <w:tcPr>
            <w:tcW w:w="6123" w:type="dxa"/>
            <w:hideMark/>
          </w:tcPr>
          <w:p w:rsidR="00E84642" w:rsidRPr="007C6AF6" w:rsidRDefault="00E84642" w:rsidP="004E3FBB">
            <w:pPr>
              <w:keepNext/>
              <w:outlineLvl w:val="4"/>
              <w:rPr>
                <w:bCs/>
                <w:i/>
                <w:color w:val="auto"/>
                <w:szCs w:val="28"/>
              </w:rPr>
            </w:pPr>
            <w:r w:rsidRPr="007C6AF6">
              <w:rPr>
                <w:bCs/>
                <w:i/>
                <w:color w:val="auto"/>
                <w:szCs w:val="28"/>
              </w:rPr>
              <w:t xml:space="preserve">             Sa Thầy, ngày 04 tháng 12 năm 2017</w:t>
            </w:r>
          </w:p>
        </w:tc>
      </w:tr>
    </w:tbl>
    <w:p w:rsidR="00E84642" w:rsidRPr="007C6AF6" w:rsidRDefault="00E84642" w:rsidP="00E84642">
      <w:pPr>
        <w:spacing w:before="120" w:after="120"/>
        <w:jc w:val="center"/>
        <w:rPr>
          <w:b/>
          <w:szCs w:val="28"/>
        </w:rPr>
      </w:pPr>
    </w:p>
    <w:p w:rsidR="00E84642" w:rsidRPr="007C6AF6" w:rsidRDefault="00E84642" w:rsidP="00E84642">
      <w:pPr>
        <w:jc w:val="center"/>
        <w:rPr>
          <w:b/>
          <w:color w:val="auto"/>
          <w:szCs w:val="28"/>
        </w:rPr>
      </w:pPr>
      <w:r w:rsidRPr="007C6AF6">
        <w:rPr>
          <w:b/>
          <w:color w:val="auto"/>
          <w:szCs w:val="28"/>
        </w:rPr>
        <w:t>BÁO CÁO</w:t>
      </w:r>
    </w:p>
    <w:p w:rsidR="00E84642" w:rsidRPr="007C6AF6" w:rsidRDefault="00E84642" w:rsidP="00E84642">
      <w:pPr>
        <w:jc w:val="center"/>
        <w:rPr>
          <w:b/>
          <w:color w:val="auto"/>
          <w:szCs w:val="28"/>
        </w:rPr>
      </w:pPr>
      <w:r w:rsidRPr="007C6AF6">
        <w:rPr>
          <w:b/>
          <w:color w:val="auto"/>
          <w:szCs w:val="28"/>
        </w:rPr>
        <w:t>Công tác phòng, chống tội phạm và vi phạm pháp luật năm 2017;</w:t>
      </w:r>
      <w:r w:rsidRPr="007C6AF6">
        <w:rPr>
          <w:b/>
          <w:color w:val="auto"/>
          <w:szCs w:val="28"/>
        </w:rPr>
        <w:br/>
        <w:t>phương hướng, nhiệm vụ năm 2018</w:t>
      </w:r>
    </w:p>
    <w:p w:rsidR="00E84642" w:rsidRPr="007C6AF6" w:rsidRDefault="00E84642" w:rsidP="00E84642">
      <w:pPr>
        <w:spacing w:before="120" w:after="120"/>
        <w:ind w:firstLine="709"/>
        <w:jc w:val="both"/>
        <w:rPr>
          <w:color w:val="auto"/>
          <w:szCs w:val="28"/>
        </w:rPr>
      </w:pPr>
      <w:r>
        <w:rPr>
          <w:color w:val="auto"/>
          <w:szCs w:val="28"/>
        </w:rPr>
        <w:pict>
          <v:shape id="_x0000_s1027" type="#_x0000_t32" style="position:absolute;left:0;text-align:left;margin-left:212.65pt;margin-top:5.55pt;width:39.95pt;height:0;z-index:251661312" o:connectortype="straight"/>
        </w:pict>
      </w:r>
    </w:p>
    <w:p w:rsidR="00E84642" w:rsidRPr="007C6AF6" w:rsidRDefault="00E84642" w:rsidP="00E84642">
      <w:pPr>
        <w:spacing w:before="120" w:after="120"/>
        <w:ind w:firstLine="709"/>
        <w:jc w:val="both"/>
        <w:rPr>
          <w:color w:val="auto"/>
          <w:szCs w:val="28"/>
        </w:rPr>
      </w:pPr>
      <w:r w:rsidRPr="007C6AF6">
        <w:rPr>
          <w:color w:val="auto"/>
          <w:szCs w:val="28"/>
        </w:rPr>
        <w:t>Thực hiện Thông báo số 31/TB-HĐND ngày 23/10/2017 của Thường trực HĐND huyện về nội dung chương trình, thời gian, địa điểm tổ chức kỳ họp thứ 5 HĐND huyện khóa X nhiệm kỳ 2016-2021,</w:t>
      </w:r>
    </w:p>
    <w:p w:rsidR="00E84642" w:rsidRPr="007C6AF6" w:rsidRDefault="00E84642" w:rsidP="00E84642">
      <w:pPr>
        <w:spacing w:before="120" w:after="120"/>
        <w:ind w:firstLine="709"/>
        <w:jc w:val="both"/>
        <w:rPr>
          <w:color w:val="auto"/>
          <w:szCs w:val="28"/>
        </w:rPr>
      </w:pPr>
      <w:r w:rsidRPr="007C6AF6">
        <w:rPr>
          <w:color w:val="auto"/>
          <w:szCs w:val="28"/>
        </w:rPr>
        <w:t>UBND huyện báo cáo kết quả công tác phòng, chống tội phạm, vi phạm pháp luật (VPPL) năm 2017 và phương hướng, nhiệm vụ năm 2018, cụ thể như sau:</w:t>
      </w:r>
    </w:p>
    <w:p w:rsidR="00E84642" w:rsidRPr="007C6AF6" w:rsidRDefault="00E84642" w:rsidP="00E84642">
      <w:pPr>
        <w:spacing w:before="120" w:after="120"/>
        <w:ind w:firstLine="709"/>
        <w:jc w:val="both"/>
        <w:rPr>
          <w:b/>
          <w:color w:val="auto"/>
          <w:szCs w:val="28"/>
        </w:rPr>
      </w:pPr>
      <w:r w:rsidRPr="007C6AF6">
        <w:rPr>
          <w:b/>
          <w:color w:val="auto"/>
          <w:szCs w:val="28"/>
        </w:rPr>
        <w:t>I. Công tác chỉ đạo, điều hành, tổ chức thực hiện công tác phòng, chống tội phạm và vi phạm pháp luật</w:t>
      </w:r>
    </w:p>
    <w:p w:rsidR="00E84642" w:rsidRPr="007C6AF6" w:rsidRDefault="00E84642" w:rsidP="00E84642">
      <w:pPr>
        <w:spacing w:before="120" w:after="120"/>
        <w:ind w:firstLine="709"/>
        <w:jc w:val="both"/>
        <w:rPr>
          <w:b/>
          <w:color w:val="auto"/>
          <w:szCs w:val="28"/>
        </w:rPr>
      </w:pPr>
      <w:r w:rsidRPr="007C6AF6">
        <w:rPr>
          <w:b/>
          <w:color w:val="auto"/>
          <w:szCs w:val="28"/>
        </w:rPr>
        <w:t>1. Công tác chỉ đạo, điều hành</w:t>
      </w:r>
    </w:p>
    <w:p w:rsidR="00E84642" w:rsidRPr="007C6AF6" w:rsidRDefault="00E84642" w:rsidP="00E84642">
      <w:pPr>
        <w:spacing w:before="120" w:after="120"/>
        <w:ind w:firstLine="709"/>
        <w:jc w:val="both"/>
        <w:rPr>
          <w:color w:val="auto"/>
          <w:szCs w:val="28"/>
        </w:rPr>
      </w:pPr>
      <w:r w:rsidRPr="007C6AF6">
        <w:rPr>
          <w:color w:val="auto"/>
          <w:szCs w:val="28"/>
        </w:rPr>
        <w:t xml:space="preserve">UBND huyện đã chỉ đạo các cơ quan, đơn vị, địa phương triển khai thực hiện quyết liệt Chỉ thị số 48-CT/TW ngày 22/10/2010 của Bộ Chính trị về tăng cường sự lãnh đạo của Đảng đối với công tác phòng, chống tội phạm trong tình hình mới; Chỉ thị số 21-CT/TW của Bộ Chính trị về tiếp tục tăng cường lãnh đạo, chỉ đạo công tác phòng, chống và kiểm soát ma túy trong tình hình mới; tiếp tục đẩy mạnh thực hiện Nghị quyết số 28-NQ/TW ngày 25/10/2013 của Ban Chấp hành Trung ương </w:t>
      </w:r>
      <w:r w:rsidRPr="007C6AF6">
        <w:rPr>
          <w:i/>
          <w:color w:val="auto"/>
          <w:szCs w:val="28"/>
        </w:rPr>
        <w:t>(khóa XI)</w:t>
      </w:r>
      <w:r w:rsidRPr="007C6AF6">
        <w:rPr>
          <w:color w:val="auto"/>
          <w:szCs w:val="28"/>
        </w:rPr>
        <w:t xml:space="preserve"> về chiến lược bảo vệ Tổ quốc trong tình hình mới gắn với thực hiện Chỉ thị số 46-CT/TW ngày 22/6/2015 của Bộ Chính trị về tăng cường sự lãnh đạo của Đảng đối với công tác đảm bảo an ninh, trật tự trong tình hình mới; Kế hoạch số 04/KH-BCĐ138/CP ngày 04/01/2017 của Ban Chỉ đạo 138 Trung ương....</w:t>
      </w:r>
    </w:p>
    <w:p w:rsidR="00E84642" w:rsidRPr="007C6AF6" w:rsidRDefault="00E84642" w:rsidP="00E84642">
      <w:pPr>
        <w:spacing w:before="120" w:after="120"/>
        <w:ind w:firstLine="709"/>
        <w:jc w:val="both"/>
        <w:rPr>
          <w:color w:val="auto"/>
          <w:szCs w:val="28"/>
        </w:rPr>
      </w:pPr>
      <w:r w:rsidRPr="007C6AF6">
        <w:rPr>
          <w:color w:val="auto"/>
          <w:szCs w:val="28"/>
        </w:rPr>
        <w:t>Trên cơ sở chỉ đạo của UBND tỉnh, Huyện ủy, UBND huyện xây dựng kế hoạch và ban hành các văn bản chỉ đạo triển khai thực hiện công tác đảm bảo an ninh trật tự và phòng chống tội phạm; thi hành pháp luật trên địa bàn huyện</w:t>
      </w:r>
      <w:r w:rsidRPr="007C6AF6">
        <w:rPr>
          <w:color w:val="auto"/>
          <w:szCs w:val="28"/>
          <w:vertAlign w:val="superscript"/>
        </w:rPr>
        <w:t>(</w:t>
      </w:r>
      <w:r w:rsidRPr="007C6AF6">
        <w:rPr>
          <w:rStyle w:val="FootnoteReference"/>
          <w:rFonts w:eastAsiaTheme="majorEastAsia"/>
          <w:color w:val="auto"/>
          <w:szCs w:val="28"/>
        </w:rPr>
        <w:footnoteReference w:id="2"/>
      </w:r>
      <w:r w:rsidRPr="007C6AF6">
        <w:rPr>
          <w:color w:val="auto"/>
          <w:szCs w:val="28"/>
          <w:vertAlign w:val="superscript"/>
        </w:rPr>
        <w:t>)</w:t>
      </w:r>
      <w:r w:rsidRPr="007C6AF6">
        <w:rPr>
          <w:color w:val="auto"/>
          <w:szCs w:val="28"/>
        </w:rPr>
        <w:t xml:space="preserve">. Qua </w:t>
      </w:r>
      <w:r w:rsidRPr="007C6AF6">
        <w:rPr>
          <w:color w:val="auto"/>
          <w:szCs w:val="28"/>
        </w:rPr>
        <w:lastRenderedPageBreak/>
        <w:t xml:space="preserve">triển khai các cơ quan, UBND các xã, Thị trấn đã bám sát vào nội dung của kế hoạch để thực hiện nhiệm vụ. </w:t>
      </w:r>
    </w:p>
    <w:p w:rsidR="00E84642" w:rsidRPr="007C6AF6" w:rsidRDefault="00E84642" w:rsidP="00E84642">
      <w:pPr>
        <w:spacing w:before="120" w:after="120"/>
        <w:ind w:firstLine="709"/>
        <w:jc w:val="both"/>
        <w:rPr>
          <w:color w:val="auto"/>
          <w:szCs w:val="28"/>
        </w:rPr>
      </w:pPr>
      <w:r w:rsidRPr="007C6AF6">
        <w:rPr>
          <w:color w:val="auto"/>
          <w:szCs w:val="28"/>
        </w:rPr>
        <w:t>Trong năm 2017, UBND huyện đã thành lập Ban Chỉ đạo phòng, chống tội phạm, tệ nạn xã hội và xây dựng phong trào toàn dân bảo vệ an ninh Tổ quôc huyện Sa Thầy, do đồng chí Chủ tịch UBND huyện làm Trưởng ban</w:t>
      </w:r>
      <w:r w:rsidRPr="007C6AF6">
        <w:rPr>
          <w:color w:val="auto"/>
          <w:szCs w:val="28"/>
          <w:vertAlign w:val="superscript"/>
        </w:rPr>
        <w:t>(</w:t>
      </w:r>
      <w:r w:rsidRPr="007C6AF6">
        <w:rPr>
          <w:rStyle w:val="FootnoteReference"/>
          <w:rFonts w:eastAsiaTheme="majorEastAsia"/>
          <w:color w:val="auto"/>
          <w:szCs w:val="28"/>
        </w:rPr>
        <w:footnoteReference w:id="3"/>
      </w:r>
      <w:r w:rsidRPr="007C6AF6">
        <w:rPr>
          <w:color w:val="auto"/>
          <w:szCs w:val="28"/>
          <w:vertAlign w:val="superscript"/>
        </w:rPr>
        <w:t>)</w:t>
      </w:r>
      <w:r w:rsidRPr="007C6AF6">
        <w:rPr>
          <w:color w:val="auto"/>
          <w:szCs w:val="28"/>
        </w:rPr>
        <w:t>.</w:t>
      </w:r>
    </w:p>
    <w:p w:rsidR="00E84642" w:rsidRPr="007C6AF6" w:rsidRDefault="00E84642" w:rsidP="00E84642">
      <w:pPr>
        <w:spacing w:before="120" w:after="120"/>
        <w:ind w:firstLine="709"/>
        <w:jc w:val="both"/>
        <w:rPr>
          <w:b/>
          <w:color w:val="auto"/>
          <w:szCs w:val="28"/>
        </w:rPr>
      </w:pPr>
      <w:r w:rsidRPr="007C6AF6">
        <w:rPr>
          <w:b/>
          <w:color w:val="auto"/>
          <w:szCs w:val="28"/>
        </w:rPr>
        <w:t>2. Công tác triển khai, tuyên truyền, phổ biến giáo dục pháp luật về phòng, chống tội phạm, VPPL</w:t>
      </w:r>
    </w:p>
    <w:p w:rsidR="00E84642" w:rsidRPr="007C6AF6" w:rsidRDefault="00E84642" w:rsidP="00E84642">
      <w:pPr>
        <w:spacing w:before="120" w:after="120"/>
        <w:ind w:firstLine="709"/>
        <w:jc w:val="both"/>
        <w:rPr>
          <w:color w:val="auto"/>
          <w:szCs w:val="28"/>
        </w:rPr>
      </w:pPr>
      <w:r w:rsidRPr="007C6AF6">
        <w:rPr>
          <w:color w:val="auto"/>
          <w:szCs w:val="28"/>
        </w:rPr>
        <w:t>UBND huyện đã chỉ đạo các cơ quan, đơn vị, UBND các xã, thị trấn tăng cường công tác triển khai, tuyên truyền phổ biến giáo dục pháp luật; nội dung đi sâu tuyên truyền, giáo dục về công tác phòng, chống tội phạm; phòng, chống ma túy, mại dâm; Luật giao thông</w:t>
      </w:r>
      <w:r w:rsidRPr="007C6AF6">
        <w:rPr>
          <w:color w:val="auto"/>
          <w:szCs w:val="28"/>
          <w:vertAlign w:val="superscript"/>
        </w:rPr>
        <w:t>(</w:t>
      </w:r>
      <w:r w:rsidRPr="007C6AF6">
        <w:rPr>
          <w:rStyle w:val="FootnoteReference"/>
          <w:rFonts w:eastAsiaTheme="majorEastAsia"/>
          <w:color w:val="auto"/>
          <w:szCs w:val="28"/>
        </w:rPr>
        <w:footnoteReference w:id="4"/>
      </w:r>
      <w:r w:rsidRPr="007C6AF6">
        <w:rPr>
          <w:color w:val="auto"/>
          <w:szCs w:val="28"/>
          <w:vertAlign w:val="superscript"/>
        </w:rPr>
        <w:t>)</w:t>
      </w:r>
      <w:r w:rsidRPr="007C6AF6">
        <w:rPr>
          <w:color w:val="auto"/>
          <w:szCs w:val="28"/>
        </w:rPr>
        <w:t>....</w:t>
      </w:r>
    </w:p>
    <w:p w:rsidR="00E84642" w:rsidRPr="007C6AF6" w:rsidRDefault="00E84642" w:rsidP="00E84642">
      <w:pPr>
        <w:spacing w:before="120" w:after="120"/>
        <w:ind w:firstLine="709"/>
        <w:jc w:val="both"/>
        <w:rPr>
          <w:color w:val="auto"/>
          <w:szCs w:val="28"/>
        </w:rPr>
      </w:pPr>
      <w:r w:rsidRPr="007C6AF6">
        <w:rPr>
          <w:color w:val="auto"/>
          <w:szCs w:val="28"/>
        </w:rPr>
        <w:t>Chỉ đạo Công an huyện chủ động phối hợp với các cơ quan, đơn vị tổ chức phát động phong trào toàn dân tham gia phòng, chống tội phạm tại địa bàn các xã, thị trấn. Phổ biến triển khai có hiệu quả Chương trình mục tiêu quốc gia về phòng, chống tội phạm, phòng, chống ma túy đến các cấp, các ngành, đoàn thể và nhân dân trong công tác phòng chống tội phạm và vi phạm pháp luật, nâng cao ý thức của các tâng lớp nhân dân trong công tác đấu tranh phòng, chống tội phạm, VPPL trên địa bàn. Thường xuyên đổi mới nội dung, hình thức tuyên truyền phù hợp với thực tế công tác như: thông qua hệ thống phát thanh truyền hình huyện; tổ chức phát động phong trào quần chúng bảo vệ an ninh Tổ quốc; tọa đàm; báo cáo viên pháp luật; vận động cá biệt; đưa một số đối tượng cá biệt trực tiếp đi tuyên truyền,... Qua đó góp phần nâng cao tinh thần cảnh giác, đấu tranh tố giác tội phạm của một bộ phận nhân dân, phục vụ có hiệu quả công tác đấu tranh phòng, chống tội phạm và vi phạm pháp luật trên địa bàn.</w:t>
      </w:r>
    </w:p>
    <w:p w:rsidR="00E84642" w:rsidRPr="007C6AF6" w:rsidRDefault="00E84642" w:rsidP="00E84642">
      <w:pPr>
        <w:spacing w:before="120" w:after="120"/>
        <w:ind w:firstLine="709"/>
        <w:jc w:val="both"/>
        <w:rPr>
          <w:b/>
          <w:color w:val="auto"/>
          <w:szCs w:val="28"/>
        </w:rPr>
      </w:pPr>
      <w:r w:rsidRPr="007C6AF6">
        <w:rPr>
          <w:b/>
          <w:color w:val="auto"/>
          <w:szCs w:val="28"/>
        </w:rPr>
        <w:t>3. Công tác quản lý nhà nước về trật tự, an toàn xã hội</w:t>
      </w:r>
    </w:p>
    <w:p w:rsidR="00E84642" w:rsidRPr="007C6AF6" w:rsidRDefault="00E84642" w:rsidP="00E84642">
      <w:pPr>
        <w:spacing w:before="120" w:after="120"/>
        <w:ind w:firstLine="709"/>
        <w:jc w:val="both"/>
        <w:rPr>
          <w:color w:val="auto"/>
          <w:szCs w:val="28"/>
        </w:rPr>
      </w:pPr>
      <w:r w:rsidRPr="007C6AF6">
        <w:rPr>
          <w:color w:val="auto"/>
          <w:szCs w:val="28"/>
        </w:rPr>
        <w:t>UBND huyện đã chỉ đạo Công an thực hiện nghiêm túc việc đăng ký, quản lý cư trú trên địa bàn, đảm bảo quyền và lợi ích họp pháp của nhân dân trong đăng ký, quản lý ngành nghề kinh doanh có điều kiện, phòng cháy chữa cháy, cấp phát các loại giấy tờ cho công dân.</w:t>
      </w:r>
    </w:p>
    <w:p w:rsidR="00E84642" w:rsidRPr="007C6AF6" w:rsidRDefault="00E84642" w:rsidP="00E84642">
      <w:pPr>
        <w:spacing w:before="120" w:after="120"/>
        <w:ind w:firstLine="709"/>
        <w:jc w:val="both"/>
        <w:rPr>
          <w:color w:val="auto"/>
          <w:szCs w:val="28"/>
        </w:rPr>
      </w:pPr>
      <w:r w:rsidRPr="007C6AF6">
        <w:rPr>
          <w:color w:val="auto"/>
          <w:szCs w:val="28"/>
        </w:rPr>
        <w:t>Tổ chức thực hiện nghiêm túc các quy định của Nhà nước trên lĩnh vực đảm bảo trật tự an toàn xã hội; chú trọng nâng cao hiệu quả công tác quản lý nhân hộ khẩu, vũ khí, vật liệu nổ, công cụ hỗ trợ, các cơ sở kinh doanh có điều kiện về an ninh trật tự, kịp thời kiểm tra, phát hiện và xử lý sai phạm trong lĩnh vực này, đồng thời kiến nghị các biện pháp nhằm phát hiện, hạn chế những sơ hở, thiếu sót là nguyên nhân, điều kiện để tội phạm lợi dụng hoạt động phạm tội, cụ thể như sau:</w:t>
      </w:r>
    </w:p>
    <w:p w:rsidR="00E84642" w:rsidRPr="007C6AF6" w:rsidRDefault="00E84642" w:rsidP="00E84642">
      <w:pPr>
        <w:spacing w:before="120" w:after="120"/>
        <w:ind w:firstLine="709"/>
        <w:jc w:val="both"/>
        <w:rPr>
          <w:color w:val="auto"/>
          <w:szCs w:val="28"/>
        </w:rPr>
      </w:pPr>
      <w:r w:rsidRPr="007C6AF6">
        <w:rPr>
          <w:i/>
          <w:color w:val="auto"/>
          <w:szCs w:val="28"/>
        </w:rPr>
        <w:lastRenderedPageBreak/>
        <w:t xml:space="preserve">- Công tác quản lý vũ khí, vật liệu nổ, công cụ hỗ trợ: </w:t>
      </w:r>
      <w:r w:rsidRPr="007C6AF6">
        <w:rPr>
          <w:color w:val="auto"/>
          <w:szCs w:val="28"/>
        </w:rPr>
        <w:t>Công an huyện đã thu hồi 25 vũ khí, vật liệu nổ, công cụ hỗ trợ các loại</w:t>
      </w:r>
      <w:r w:rsidRPr="007C6AF6">
        <w:rPr>
          <w:color w:val="auto"/>
          <w:szCs w:val="28"/>
          <w:vertAlign w:val="superscript"/>
        </w:rPr>
        <w:t>(</w:t>
      </w:r>
      <w:r w:rsidRPr="007C6AF6">
        <w:rPr>
          <w:rStyle w:val="FootnoteReference"/>
          <w:rFonts w:eastAsiaTheme="majorEastAsia"/>
          <w:color w:val="auto"/>
          <w:szCs w:val="28"/>
        </w:rPr>
        <w:footnoteReference w:id="5"/>
      </w:r>
      <w:r w:rsidRPr="007C6AF6">
        <w:rPr>
          <w:color w:val="auto"/>
          <w:szCs w:val="28"/>
          <w:vertAlign w:val="superscript"/>
        </w:rPr>
        <w:t>)</w:t>
      </w:r>
      <w:r w:rsidRPr="007C6AF6">
        <w:rPr>
          <w:color w:val="auto"/>
          <w:szCs w:val="28"/>
        </w:rPr>
        <w:t>.</w:t>
      </w:r>
    </w:p>
    <w:p w:rsidR="00E84642" w:rsidRPr="007C6AF6" w:rsidRDefault="00E84642" w:rsidP="00E84642">
      <w:pPr>
        <w:spacing w:before="120" w:after="120"/>
        <w:ind w:firstLine="709"/>
        <w:jc w:val="both"/>
        <w:rPr>
          <w:color w:val="auto"/>
          <w:szCs w:val="28"/>
        </w:rPr>
      </w:pPr>
      <w:r w:rsidRPr="007C6AF6">
        <w:rPr>
          <w:i/>
          <w:color w:val="auto"/>
          <w:szCs w:val="28"/>
        </w:rPr>
        <w:t>- Công tác phòng cháy, chữa cháy, cứu nạn, cứu</w:t>
      </w:r>
      <w:r w:rsidRPr="007C6AF6">
        <w:rPr>
          <w:color w:val="auto"/>
          <w:szCs w:val="28"/>
        </w:rPr>
        <w:t xml:space="preserve"> hộ: lực lượng Công an huyện đã thực hiện 03 đợt kiểm tra việc thực hiện các quy định về phòng cháy, chữa cháy đối với 54 cơ sở kinh doanh trên địa bàn. Không phát hiện vi phạm.</w:t>
      </w:r>
    </w:p>
    <w:p w:rsidR="00E84642" w:rsidRPr="007C6AF6" w:rsidRDefault="00E84642" w:rsidP="00E84642">
      <w:pPr>
        <w:spacing w:before="120" w:after="120"/>
        <w:ind w:firstLine="709"/>
        <w:jc w:val="both"/>
        <w:rPr>
          <w:color w:val="auto"/>
          <w:szCs w:val="28"/>
        </w:rPr>
      </w:pPr>
      <w:r w:rsidRPr="007C6AF6">
        <w:rPr>
          <w:i/>
          <w:color w:val="auto"/>
          <w:szCs w:val="28"/>
        </w:rPr>
        <w:t>- Công tác đảm bảo trật tự an toàn giao thông (TTATGT</w:t>
      </w:r>
      <w:r w:rsidRPr="007C6AF6">
        <w:rPr>
          <w:color w:val="auto"/>
          <w:szCs w:val="28"/>
        </w:rPr>
        <w:t>): Chỉ đạo lực lượng Cảnh sát giao thông xây dựng và triển khai thực hiện có hiệu quả kế hoạch tuần tra, kiểm soát giao thông năm 2017, mở đợt cao điểm đảm bảo TTATGT xử lý nghiêm các loại phương tiện không đảm bảo tiêu chuẩn kỹ thuật, người điều khiển phương tiện không đủ điều kiện tham gia giao thông trên địa bàn huyện. Tiếp tục làm tốt công tác tuyên truyền giáo dục pháp luật, nâng cao ý thức chấp hành các quy định của Luật Giao thông đường bộ đi đôi thực hiện có hiệu quả Nghị quyết 32, Nghị định 167/NĐ-CP của Chính phủ, xử lý nghiêm các trường hợp vi phạm Luật giao thông đường bộ. Lực lượng giao thông Công an huyện đã thực hiện nghiêm túc kế hoạch, quy trình tuần tra, kiểm soát trên những tuyến đường, địa bàn được phân công, không để xảy ra tình trạng sách nhiễu, phiền hà nhân dân hay tiêu cực.</w:t>
      </w:r>
    </w:p>
    <w:p w:rsidR="00E84642" w:rsidRPr="007C6AF6" w:rsidRDefault="00E84642" w:rsidP="00E84642">
      <w:pPr>
        <w:spacing w:before="120" w:after="120"/>
        <w:ind w:firstLine="709"/>
        <w:jc w:val="both"/>
        <w:rPr>
          <w:color w:val="auto"/>
          <w:szCs w:val="28"/>
        </w:rPr>
      </w:pPr>
      <w:r w:rsidRPr="007C6AF6">
        <w:rPr>
          <w:color w:val="auto"/>
          <w:szCs w:val="28"/>
        </w:rPr>
        <w:t>Qua công tác tuần tra, kiểm soát đã phát hiện 892 trường hợp vi phạm, tạm giữ 499 xe mô tô, 04 xe ô tô, 389 giấy tờ các loại.</w:t>
      </w:r>
    </w:p>
    <w:p w:rsidR="00E84642" w:rsidRPr="007C6AF6" w:rsidRDefault="00E84642" w:rsidP="00E84642">
      <w:pPr>
        <w:spacing w:before="120" w:after="120"/>
        <w:ind w:firstLine="709"/>
        <w:jc w:val="both"/>
        <w:rPr>
          <w:color w:val="auto"/>
          <w:szCs w:val="28"/>
        </w:rPr>
      </w:pPr>
      <w:r w:rsidRPr="007C6AF6">
        <w:rPr>
          <w:color w:val="auto"/>
          <w:szCs w:val="28"/>
        </w:rPr>
        <w:t xml:space="preserve">Tai nạn giao thông xảy ra 02 vụ </w:t>
      </w:r>
      <w:r w:rsidRPr="007C6AF6">
        <w:rPr>
          <w:i/>
          <w:color w:val="auto"/>
          <w:szCs w:val="28"/>
        </w:rPr>
        <w:t>(giảm 04 vụ so với năm 2016</w:t>
      </w:r>
      <w:r w:rsidRPr="007C6AF6">
        <w:rPr>
          <w:color w:val="auto"/>
          <w:szCs w:val="28"/>
        </w:rPr>
        <w:t>), chết 02 người, bị thương 02 người. Nguyên nhân gây tai nạn là đi không đúng phần đường.</w:t>
      </w:r>
    </w:p>
    <w:p w:rsidR="00E84642" w:rsidRPr="007C6AF6" w:rsidRDefault="00E84642" w:rsidP="00E84642">
      <w:pPr>
        <w:spacing w:before="120" w:after="120"/>
        <w:ind w:firstLine="709"/>
        <w:jc w:val="both"/>
        <w:rPr>
          <w:i/>
          <w:color w:val="auto"/>
          <w:szCs w:val="28"/>
        </w:rPr>
      </w:pPr>
      <w:r w:rsidRPr="007C6AF6">
        <w:rPr>
          <w:i/>
          <w:color w:val="auto"/>
          <w:szCs w:val="28"/>
        </w:rPr>
        <w:t>- Công tác quản lý giam giữ, hỗ trợ tái hoà nhập cộng đồng:</w:t>
      </w:r>
    </w:p>
    <w:p w:rsidR="00E84642" w:rsidRPr="007C6AF6" w:rsidRDefault="00E84642" w:rsidP="00E84642">
      <w:pPr>
        <w:spacing w:before="120" w:after="120"/>
        <w:ind w:firstLine="709"/>
        <w:jc w:val="both"/>
        <w:rPr>
          <w:color w:val="auto"/>
          <w:szCs w:val="28"/>
        </w:rPr>
      </w:pPr>
      <w:r w:rsidRPr="007C6AF6">
        <w:rPr>
          <w:color w:val="auto"/>
          <w:szCs w:val="28"/>
        </w:rPr>
        <w:t xml:space="preserve">Tổng số tạm giữ, tạm giam 48 trường họp </w:t>
      </w:r>
      <w:r w:rsidRPr="007C6AF6">
        <w:rPr>
          <w:i/>
          <w:color w:val="auto"/>
          <w:szCs w:val="28"/>
        </w:rPr>
        <w:t>(Số cũ chuyển sang: 13 trường hợp; số mới phát sinh: 35 trường hợp).</w:t>
      </w:r>
      <w:r w:rsidRPr="007C6AF6">
        <w:rPr>
          <w:color w:val="auto"/>
          <w:szCs w:val="28"/>
        </w:rPr>
        <w:t xml:space="preserve"> Cụ thể:</w:t>
      </w:r>
    </w:p>
    <w:p w:rsidR="00E84642" w:rsidRPr="007C6AF6" w:rsidRDefault="00E84642" w:rsidP="00E84642">
      <w:pPr>
        <w:spacing w:before="120" w:after="120"/>
        <w:ind w:firstLine="709"/>
        <w:jc w:val="both"/>
        <w:rPr>
          <w:i/>
          <w:color w:val="auto"/>
          <w:szCs w:val="28"/>
        </w:rPr>
      </w:pPr>
      <w:r w:rsidRPr="007C6AF6">
        <w:rPr>
          <w:color w:val="auto"/>
          <w:szCs w:val="28"/>
        </w:rPr>
        <w:t xml:space="preserve">+ Tạm giữ: 17 đối tượng </w:t>
      </w:r>
      <w:r w:rsidRPr="007C6AF6">
        <w:rPr>
          <w:i/>
          <w:color w:val="auto"/>
          <w:szCs w:val="28"/>
        </w:rPr>
        <w:t>(Đã chuyển tạm giam 12 trường hợp; thay thế biện pháp ngăn chặn 02 trường hợp; chuyển Công an tỉnh thụ lý: 02 trường hợp; hiện đang tạm giữ 01 trường hợp);</w:t>
      </w:r>
    </w:p>
    <w:p w:rsidR="00E84642" w:rsidRPr="007C6AF6" w:rsidRDefault="00E84642" w:rsidP="00E84642">
      <w:pPr>
        <w:spacing w:before="120" w:after="120"/>
        <w:ind w:firstLine="709"/>
        <w:jc w:val="both"/>
        <w:rPr>
          <w:color w:val="auto"/>
          <w:szCs w:val="28"/>
        </w:rPr>
      </w:pPr>
      <w:r w:rsidRPr="007C6AF6">
        <w:rPr>
          <w:color w:val="auto"/>
          <w:szCs w:val="28"/>
        </w:rPr>
        <w:t xml:space="preserve">+ Tạm giam: 43 đối tượng </w:t>
      </w:r>
      <w:r w:rsidRPr="007C6AF6">
        <w:rPr>
          <w:i/>
          <w:color w:val="auto"/>
          <w:szCs w:val="28"/>
        </w:rPr>
        <w:t xml:space="preserve">(Thay thế biện pháp ngăn chặn 06 trường hợp; chuyển thi hành án tại trạm tạm giam Công an tỉnh: 27 trường họp; trả tự do: 02 trường hợp). </w:t>
      </w:r>
      <w:r w:rsidRPr="007C6AF6">
        <w:rPr>
          <w:color w:val="auto"/>
          <w:szCs w:val="28"/>
        </w:rPr>
        <w:t>Hiện Nhà tạm giữ đang tạm giữ 08 đối tượng, không để trường hợp nào trốn, không để xảy ra vụ việc phức tạp trong nhà tạm giữ.</w:t>
      </w:r>
    </w:p>
    <w:p w:rsidR="00E84642" w:rsidRPr="007C6AF6" w:rsidRDefault="00E84642" w:rsidP="00E84642">
      <w:pPr>
        <w:spacing w:before="120" w:after="120"/>
        <w:ind w:firstLine="709"/>
        <w:jc w:val="both"/>
        <w:rPr>
          <w:color w:val="auto"/>
          <w:szCs w:val="28"/>
        </w:rPr>
      </w:pPr>
      <w:r w:rsidRPr="007C6AF6">
        <w:rPr>
          <w:color w:val="auto"/>
          <w:szCs w:val="28"/>
        </w:rPr>
        <w:t>Hiện có 45 đối tượng chấp hành xong án phạt tù về trình diện tại địa phương. Có 31 đối tượng có án phạt ngoài hình phạt tù. Công an huyện đã phối hợp với chính quyền địa phương tăng cường công tác quản lý, giáo dục, tạo điều kiện tái hòa nhập cộng đồng.</w:t>
      </w:r>
    </w:p>
    <w:p w:rsidR="00E84642" w:rsidRPr="007C6AF6" w:rsidRDefault="00E84642" w:rsidP="00E84642">
      <w:pPr>
        <w:spacing w:before="120" w:after="120"/>
        <w:ind w:firstLine="709"/>
        <w:jc w:val="both"/>
        <w:rPr>
          <w:b/>
          <w:color w:val="auto"/>
          <w:szCs w:val="28"/>
        </w:rPr>
      </w:pPr>
      <w:r w:rsidRPr="007C6AF6">
        <w:rPr>
          <w:b/>
          <w:color w:val="auto"/>
          <w:szCs w:val="28"/>
        </w:rPr>
        <w:t>4. Công tác xây dựng phong trào toàn dân bảo vệ an ninh Tổ quốc</w:t>
      </w:r>
    </w:p>
    <w:p w:rsidR="00E84642" w:rsidRPr="007C6AF6" w:rsidRDefault="00E84642" w:rsidP="00E84642">
      <w:pPr>
        <w:spacing w:before="120" w:after="120"/>
        <w:ind w:firstLine="709"/>
        <w:jc w:val="both"/>
        <w:rPr>
          <w:color w:val="auto"/>
          <w:szCs w:val="28"/>
        </w:rPr>
      </w:pPr>
      <w:r w:rsidRPr="007C6AF6">
        <w:rPr>
          <w:color w:val="auto"/>
          <w:szCs w:val="28"/>
        </w:rPr>
        <w:t xml:space="preserve">Để nâng cao hiệu quả công tác xây dựng phong trào toàn dân bảo vệ an ninh Tổ quốc, đề ra các chủ trương, chính sách cho công tác vận động phát huy vai trò của quần chúng bảo vệ an ninh Tổ quôc, lãnh đạo các tổ chức trong hệ thống chính </w:t>
      </w:r>
      <w:r w:rsidRPr="007C6AF6">
        <w:rPr>
          <w:color w:val="auto"/>
          <w:szCs w:val="28"/>
        </w:rPr>
        <w:lastRenderedPageBreak/>
        <w:t>trị thực hiện công tác này, các cấp chính quyền ở từng địa phương, thủ trưởng các cơ quan đơn vị trực tiếp tổ chức xây dựng kế hoạch nhằm cụ thể hóa các chủ trương, chính sách của Đảng về công tác vận động quần chúng nhân dân bảo vệ an ninh Tổ quốc. Các đoàn thể chính trị - xã hội trên cơ sở nắm vững chủ trương của Đảng và sự cụ thể hóa của các cấp chính quyền, tổ chức các thành viên trong đoàn thể mình tự giác tham gia hoạt động trong Phong trào toàn dân bảo vệ an ninh Tổ quốc, cụ thể là: Ủy ban Mặt trận Tổ quốc Việt Nam, Liên đoàn lao động, Hội Liên hiệp phụ nữ, Đoàn thanh niên.</w:t>
      </w:r>
    </w:p>
    <w:p w:rsidR="00E84642" w:rsidRPr="007C6AF6" w:rsidRDefault="00E84642" w:rsidP="00E84642">
      <w:pPr>
        <w:spacing w:before="120" w:after="120"/>
        <w:ind w:firstLine="709"/>
        <w:jc w:val="both"/>
        <w:rPr>
          <w:color w:val="auto"/>
          <w:szCs w:val="28"/>
        </w:rPr>
      </w:pPr>
      <w:r w:rsidRPr="007C6AF6">
        <w:rPr>
          <w:color w:val="auto"/>
          <w:szCs w:val="28"/>
        </w:rPr>
        <w:t>Trong năm 2017 đã phối hợp với cấp ủy, chính quyền, đoàn thể các xã, trường học tổ chức, tham gia phát động phong trào toàn dân bảo vệ ANTQ với nhiều nội dung, hình thức phong phú đa dạng. Kết quả: Tổ chức 10 lượt phát động phong trào quần chúng bảo vệ ANTQ tập trung tại 04 xã, 01 trường học, 04 điểm dân cư với khoảng hơn 7.000 lượt người tham gia.</w:t>
      </w:r>
    </w:p>
    <w:p w:rsidR="00E84642" w:rsidRPr="007C6AF6" w:rsidRDefault="00E84642" w:rsidP="00E84642">
      <w:pPr>
        <w:spacing w:before="120" w:after="120"/>
        <w:ind w:firstLine="709"/>
        <w:jc w:val="both"/>
        <w:rPr>
          <w:color w:val="auto"/>
          <w:szCs w:val="28"/>
        </w:rPr>
      </w:pPr>
      <w:r w:rsidRPr="007C6AF6">
        <w:rPr>
          <w:color w:val="auto"/>
          <w:szCs w:val="28"/>
        </w:rPr>
        <w:t>Qua công tác xây dựng phong trào quần chúng bảo vệ ANTQ, lực lượng Công an huyện đã xây dựng và củng cố thế trận an ninh nhân dân kết hợp với thế trận quốc phòng toàn dân. Duy trì hoạt động của các tổ chức quần chúng tự quản về ANTT: Tổ ANND, Ban bảo vệ dân phố... Hiện trên địa bàn có 01 Ban BVDP với 43 thành viên, 216 tổ ANND với 5.319 thành viên, 11 ban hòa giải tại 11 xã, thị trấn với 77 thành viên và 74 tổ hòa giải tại các thôn, làng với 518 thành viên.</w:t>
      </w:r>
    </w:p>
    <w:p w:rsidR="00E84642" w:rsidRPr="007C6AF6" w:rsidRDefault="00E84642" w:rsidP="00E84642">
      <w:pPr>
        <w:spacing w:before="120" w:after="120"/>
        <w:ind w:firstLine="709"/>
        <w:jc w:val="both"/>
        <w:rPr>
          <w:b/>
          <w:color w:val="auto"/>
          <w:szCs w:val="28"/>
        </w:rPr>
      </w:pPr>
      <w:r w:rsidRPr="007C6AF6">
        <w:rPr>
          <w:b/>
          <w:color w:val="auto"/>
          <w:szCs w:val="28"/>
        </w:rPr>
        <w:t>5. Tình hình an ninh chính trị</w:t>
      </w:r>
    </w:p>
    <w:p w:rsidR="00E84642" w:rsidRPr="007C6AF6" w:rsidRDefault="00E84642" w:rsidP="00E84642">
      <w:pPr>
        <w:spacing w:before="120" w:after="120"/>
        <w:ind w:firstLine="709"/>
        <w:jc w:val="both"/>
        <w:rPr>
          <w:color w:val="auto"/>
          <w:szCs w:val="28"/>
        </w:rPr>
      </w:pPr>
      <w:r w:rsidRPr="007C6AF6">
        <w:rPr>
          <w:color w:val="auto"/>
          <w:szCs w:val="28"/>
        </w:rPr>
        <w:t>Tình hình an ninh chính trị năm 2017 cơ bản ổn định, không xảy ra hoạt động nhen nhóm, phục hồi tổ chức FULRO, biểu tình gây rối, trốn ra nước ngoài. Tuy nhiên vẫn tiềm ẩn những nhân tố phức tạp, đó là tình trạng người dân tộc thiểu số (DTTS) làm hộ chiếu phổ thông để xuất cảnh đi nước ngoài hợp pháp rồi tìm cách trốn ở lại, để tránh sự chú ý và quản lý của cơ quan chức năng; có một số đối tượng tìm cách móc nối, liên lạc với số đối tượng ở bên ngoài tổ chức đưa người DTTS trốn ra nước ngoài trái phép, gây khó khăn cho công tác quản lý địa bàn, quản lý đối tượng.</w:t>
      </w:r>
    </w:p>
    <w:p w:rsidR="00E84642" w:rsidRPr="007C6AF6" w:rsidRDefault="00E84642" w:rsidP="00E84642">
      <w:pPr>
        <w:spacing w:before="120" w:after="120"/>
        <w:ind w:firstLine="709"/>
        <w:jc w:val="both"/>
        <w:rPr>
          <w:b/>
          <w:color w:val="auto"/>
          <w:szCs w:val="28"/>
        </w:rPr>
      </w:pPr>
      <w:r w:rsidRPr="007C6AF6">
        <w:rPr>
          <w:b/>
          <w:color w:val="auto"/>
          <w:szCs w:val="28"/>
        </w:rPr>
        <w:t>II. Tình hình, kết quả công tác phòng, chống vi phạm pháp luật hành chính và tội phạm cụ thể trên từng lĩnh vực</w:t>
      </w:r>
    </w:p>
    <w:p w:rsidR="00E84642" w:rsidRPr="007C6AF6" w:rsidRDefault="00E84642" w:rsidP="00E84642">
      <w:pPr>
        <w:spacing w:before="120" w:after="120"/>
        <w:ind w:firstLine="709"/>
        <w:jc w:val="both"/>
        <w:rPr>
          <w:b/>
          <w:color w:val="auto"/>
          <w:szCs w:val="28"/>
        </w:rPr>
      </w:pPr>
      <w:r w:rsidRPr="007C6AF6">
        <w:rPr>
          <w:b/>
          <w:color w:val="auto"/>
          <w:szCs w:val="28"/>
        </w:rPr>
        <w:t>1. Tình hình vi phạm pháp luật hành chính</w:t>
      </w:r>
    </w:p>
    <w:p w:rsidR="00E84642" w:rsidRPr="007C6AF6" w:rsidRDefault="00E84642" w:rsidP="00E84642">
      <w:pPr>
        <w:spacing w:before="120" w:after="120"/>
        <w:ind w:firstLine="709"/>
        <w:jc w:val="both"/>
        <w:rPr>
          <w:b/>
          <w:i/>
          <w:color w:val="auto"/>
          <w:szCs w:val="28"/>
        </w:rPr>
      </w:pPr>
      <w:r w:rsidRPr="007C6AF6">
        <w:rPr>
          <w:b/>
          <w:i/>
          <w:color w:val="auto"/>
          <w:szCs w:val="28"/>
        </w:rPr>
        <w:t>1.1. Phát hiện vi phạm pháp luật hành chính</w:t>
      </w:r>
    </w:p>
    <w:p w:rsidR="00E84642" w:rsidRPr="007C6AF6" w:rsidRDefault="00E84642" w:rsidP="00E84642">
      <w:pPr>
        <w:spacing w:before="120" w:after="120"/>
        <w:ind w:firstLine="709"/>
        <w:jc w:val="both"/>
        <w:rPr>
          <w:color w:val="auto"/>
          <w:szCs w:val="28"/>
        </w:rPr>
      </w:pPr>
      <w:r w:rsidRPr="007C6AF6">
        <w:rPr>
          <w:color w:val="auto"/>
          <w:szCs w:val="28"/>
        </w:rPr>
        <w:t>Từ đầu năm đến nay, tình hình vi phạm hành chính trên địa bàn huyện có những diễn biến phức tạp, tập trung chủ yếu là vi phạm pháp luật về trật tự an toàn giao thông đường bộ, an ninh trật tự... Lực lượng Công an huyện đã phát hiện 952 trường họp vi phạm pháp luật hành chính, trong đó: Vi phạm pháp luật về an ninh trật tự: 31 trường hợp; trên lĩnh vực quản lý cư trú: 29 trường hợp; trên lĩnh vực TTATGT đường bộ: 892 trường hợp.</w:t>
      </w:r>
    </w:p>
    <w:p w:rsidR="00E84642" w:rsidRPr="007C6AF6" w:rsidRDefault="00E84642" w:rsidP="00E84642">
      <w:pPr>
        <w:spacing w:before="120" w:after="120"/>
        <w:ind w:firstLine="709"/>
        <w:jc w:val="both"/>
        <w:rPr>
          <w:b/>
          <w:i/>
          <w:color w:val="auto"/>
          <w:szCs w:val="28"/>
        </w:rPr>
      </w:pPr>
      <w:r w:rsidRPr="007C6AF6">
        <w:rPr>
          <w:b/>
          <w:i/>
          <w:color w:val="auto"/>
          <w:szCs w:val="28"/>
        </w:rPr>
        <w:t>1.2. Xử lý, xử phạt vi phạm hành chính (VPHC)</w:t>
      </w:r>
    </w:p>
    <w:p w:rsidR="00E84642" w:rsidRPr="007C6AF6" w:rsidRDefault="00E84642" w:rsidP="00E84642">
      <w:pPr>
        <w:spacing w:before="120" w:after="120"/>
        <w:ind w:firstLine="709"/>
        <w:jc w:val="both"/>
        <w:rPr>
          <w:color w:val="auto"/>
          <w:szCs w:val="28"/>
        </w:rPr>
      </w:pPr>
      <w:r w:rsidRPr="007C6AF6">
        <w:rPr>
          <w:color w:val="auto"/>
          <w:szCs w:val="28"/>
        </w:rPr>
        <w:lastRenderedPageBreak/>
        <w:t xml:space="preserve">Ra quyết định xử phạt VPHC: 952 trường hợp, trong đó: Phạt cảnh cáo: 07 trường hợp; phạt tiền: 933 trường hợp, nộp Ngân sách Nhà nước 498.583.000 đ </w:t>
      </w:r>
      <w:r w:rsidRPr="007C6AF6">
        <w:rPr>
          <w:i/>
          <w:color w:val="auto"/>
          <w:szCs w:val="28"/>
        </w:rPr>
        <w:t>(Bốn trăm, chín mươi tám triệu, năm trăm, tám mươi ba ngàn đồng).</w:t>
      </w:r>
      <w:r w:rsidRPr="007C6AF6">
        <w:rPr>
          <w:color w:val="auto"/>
          <w:szCs w:val="28"/>
        </w:rPr>
        <w:t xml:space="preserve"> Cụ thể:</w:t>
      </w:r>
    </w:p>
    <w:p w:rsidR="00E84642" w:rsidRPr="007C6AF6" w:rsidRDefault="00E84642" w:rsidP="00E84642">
      <w:pPr>
        <w:spacing w:before="120" w:after="120"/>
        <w:ind w:firstLine="709"/>
        <w:jc w:val="both"/>
        <w:rPr>
          <w:i/>
          <w:color w:val="auto"/>
          <w:szCs w:val="28"/>
        </w:rPr>
      </w:pPr>
      <w:r w:rsidRPr="007C6AF6">
        <w:rPr>
          <w:color w:val="auto"/>
          <w:szCs w:val="28"/>
        </w:rPr>
        <w:t>- Lĩnh vực ANTT: Ra quyết định xử phạt VPHC: 31 trường hợp, trong đó: Nhắc nhở: 02 trường hợp; Phạt cảnh cáo: 07 trường hợp; Phạt tiền 222 trường hợp; nộp Ngân sách Nhà nước 36.025.000 đ</w:t>
      </w:r>
      <w:r w:rsidRPr="007C6AF6">
        <w:rPr>
          <w:i/>
          <w:color w:val="auto"/>
          <w:szCs w:val="28"/>
        </w:rPr>
        <w:t xml:space="preserve"> (Ba mươi sáu triệu, không trăm hai mươi lăm ngàn đồng).</w:t>
      </w:r>
    </w:p>
    <w:p w:rsidR="00E84642" w:rsidRPr="007C6AF6" w:rsidRDefault="00E84642" w:rsidP="00E84642">
      <w:pPr>
        <w:spacing w:before="120" w:after="120"/>
        <w:ind w:firstLine="709"/>
        <w:jc w:val="both"/>
        <w:rPr>
          <w:i/>
          <w:color w:val="auto"/>
          <w:szCs w:val="28"/>
        </w:rPr>
      </w:pPr>
      <w:r w:rsidRPr="007C6AF6">
        <w:rPr>
          <w:color w:val="auto"/>
          <w:szCs w:val="28"/>
        </w:rPr>
        <w:t xml:space="preserve">- Lĩnh vực quản lý cư trú: Ra quyết định xử phạt VPHC: 29 trường hợp, trong đó: Phạt cảnh cáo: 00 trường hợp; Phạt tiền 29 trường hợp, nộp Ngân sách Nhà nước 5.800.000 đ </w:t>
      </w:r>
      <w:r w:rsidRPr="007C6AF6">
        <w:rPr>
          <w:i/>
          <w:color w:val="auto"/>
          <w:szCs w:val="28"/>
        </w:rPr>
        <w:t>(Năm triệu, tám trăm ngàn đồng chẵn).</w:t>
      </w:r>
    </w:p>
    <w:p w:rsidR="00E84642" w:rsidRPr="007C6AF6" w:rsidRDefault="00E84642" w:rsidP="00E84642">
      <w:pPr>
        <w:spacing w:before="120" w:after="120"/>
        <w:ind w:firstLine="709"/>
        <w:jc w:val="both"/>
        <w:rPr>
          <w:color w:val="auto"/>
          <w:szCs w:val="28"/>
        </w:rPr>
      </w:pPr>
      <w:r w:rsidRPr="007C6AF6">
        <w:rPr>
          <w:color w:val="auto"/>
          <w:szCs w:val="28"/>
        </w:rPr>
        <w:t xml:space="preserve">- Lĩnh vực TTATGT đường bộ: Ra quyết định xử phạt VPHC 892 trường hợp, trong đó: Phạt cảnh cáo: 10 trường hợp, phạt tiền 882 trường hợp, nộp Ngân sách Nhà nước 456.758.000 đ </w:t>
      </w:r>
      <w:r w:rsidRPr="007C6AF6">
        <w:rPr>
          <w:i/>
          <w:color w:val="auto"/>
          <w:szCs w:val="28"/>
        </w:rPr>
        <w:t>(Bốn trăm, năm mươi sáu triệu, bảy trăm, năm mươi tám ngàn đồng),</w:t>
      </w:r>
      <w:r w:rsidRPr="007C6AF6">
        <w:rPr>
          <w:color w:val="auto"/>
          <w:szCs w:val="28"/>
        </w:rPr>
        <w:t xml:space="preserve"> tạm giữ 499 xe mô tô; 04 xe ô tô; 389 giấy tờ xe các loại.</w:t>
      </w:r>
    </w:p>
    <w:p w:rsidR="00E84642" w:rsidRPr="007C6AF6" w:rsidRDefault="00E84642" w:rsidP="00E84642">
      <w:pPr>
        <w:spacing w:before="120" w:after="120"/>
        <w:ind w:firstLine="709"/>
        <w:jc w:val="both"/>
        <w:rPr>
          <w:b/>
          <w:color w:val="auto"/>
          <w:szCs w:val="28"/>
        </w:rPr>
      </w:pPr>
      <w:r w:rsidRPr="007C6AF6">
        <w:rPr>
          <w:b/>
          <w:color w:val="auto"/>
          <w:szCs w:val="28"/>
        </w:rPr>
        <w:t>2. Tình hình tội phạm</w:t>
      </w:r>
    </w:p>
    <w:p w:rsidR="00E84642" w:rsidRPr="007C6AF6" w:rsidRDefault="00E84642" w:rsidP="00E84642">
      <w:pPr>
        <w:spacing w:before="120" w:after="120"/>
        <w:ind w:firstLine="709"/>
        <w:jc w:val="both"/>
        <w:rPr>
          <w:color w:val="auto"/>
          <w:szCs w:val="28"/>
        </w:rPr>
      </w:pPr>
      <w:r w:rsidRPr="007C6AF6">
        <w:rPr>
          <w:color w:val="auto"/>
          <w:szCs w:val="28"/>
        </w:rPr>
        <w:t xml:space="preserve">- Tội phạm và vi phạm pháp luật về kinh tế: Phát hiện 07 vụ - 12 đối tượng </w:t>
      </w:r>
      <w:r w:rsidRPr="007C6AF6">
        <w:rPr>
          <w:i/>
          <w:color w:val="auto"/>
          <w:szCs w:val="28"/>
        </w:rPr>
        <w:t>(tăng 01 vụ so với năm 2016)</w:t>
      </w:r>
      <w:r w:rsidRPr="007C6AF6">
        <w:rPr>
          <w:i/>
          <w:color w:val="auto"/>
          <w:szCs w:val="28"/>
          <w:vertAlign w:val="superscript"/>
        </w:rPr>
        <w:t>(</w:t>
      </w:r>
      <w:r w:rsidRPr="007C6AF6">
        <w:rPr>
          <w:rStyle w:val="FootnoteReference"/>
          <w:rFonts w:eastAsiaTheme="majorEastAsia"/>
          <w:i/>
          <w:color w:val="auto"/>
          <w:szCs w:val="28"/>
        </w:rPr>
        <w:footnoteReference w:id="6"/>
      </w:r>
      <w:r w:rsidRPr="007C6AF6">
        <w:rPr>
          <w:i/>
          <w:color w:val="auto"/>
          <w:szCs w:val="28"/>
          <w:vertAlign w:val="superscript"/>
        </w:rPr>
        <w:t>)</w:t>
      </w:r>
      <w:r w:rsidRPr="007C6AF6">
        <w:rPr>
          <w:color w:val="auto"/>
          <w:szCs w:val="28"/>
        </w:rPr>
        <w:t>, thu hồi: 74,427 m</w:t>
      </w:r>
      <w:r w:rsidRPr="007C6AF6">
        <w:rPr>
          <w:color w:val="auto"/>
          <w:szCs w:val="28"/>
          <w:vertAlign w:val="superscript"/>
        </w:rPr>
        <w:t xml:space="preserve">3 </w:t>
      </w:r>
      <w:r w:rsidRPr="007C6AF6">
        <w:rPr>
          <w:color w:val="auto"/>
          <w:szCs w:val="28"/>
        </w:rPr>
        <w:t>gỗ các loại.</w:t>
      </w:r>
    </w:p>
    <w:p w:rsidR="00E84642" w:rsidRPr="007C6AF6" w:rsidRDefault="00E84642" w:rsidP="00E84642">
      <w:pPr>
        <w:spacing w:before="120" w:after="120"/>
        <w:ind w:firstLine="709"/>
        <w:jc w:val="both"/>
        <w:rPr>
          <w:color w:val="auto"/>
          <w:szCs w:val="28"/>
        </w:rPr>
      </w:pPr>
      <w:r w:rsidRPr="007C6AF6">
        <w:rPr>
          <w:color w:val="auto"/>
          <w:szCs w:val="28"/>
        </w:rPr>
        <w:t xml:space="preserve">- Vi phạm pháp luật về môi trường: 00 vụ </w:t>
      </w:r>
      <w:r w:rsidRPr="007C6AF6">
        <w:rPr>
          <w:i/>
          <w:color w:val="auto"/>
          <w:szCs w:val="28"/>
        </w:rPr>
        <w:t>(giảm 01 vụ so với năm 2016</w:t>
      </w:r>
      <w:r w:rsidRPr="007C6AF6">
        <w:rPr>
          <w:color w:val="auto"/>
          <w:szCs w:val="28"/>
        </w:rPr>
        <w:t>).</w:t>
      </w:r>
    </w:p>
    <w:p w:rsidR="00E84642" w:rsidRPr="007C6AF6" w:rsidRDefault="00E84642" w:rsidP="00E84642">
      <w:pPr>
        <w:spacing w:before="120" w:after="120"/>
        <w:ind w:firstLine="709"/>
        <w:jc w:val="both"/>
        <w:rPr>
          <w:i/>
          <w:color w:val="auto"/>
          <w:szCs w:val="28"/>
        </w:rPr>
      </w:pPr>
      <w:r w:rsidRPr="007C6AF6">
        <w:rPr>
          <w:color w:val="auto"/>
          <w:szCs w:val="28"/>
        </w:rPr>
        <w:t xml:space="preserve">- Tội phạm và vi phạm pháp luật về TTXH: Phát hiện 46 vụ </w:t>
      </w:r>
      <w:r w:rsidRPr="007C6AF6">
        <w:rPr>
          <w:i/>
          <w:color w:val="auto"/>
          <w:szCs w:val="28"/>
        </w:rPr>
        <w:t>(tăng 03 vụ so với năm 2016)</w:t>
      </w:r>
      <w:r w:rsidRPr="007C6AF6">
        <w:rPr>
          <w:i/>
          <w:color w:val="auto"/>
          <w:szCs w:val="28"/>
          <w:vertAlign w:val="superscript"/>
        </w:rPr>
        <w:t>(</w:t>
      </w:r>
      <w:r w:rsidRPr="007C6AF6">
        <w:rPr>
          <w:rStyle w:val="FootnoteReference"/>
          <w:rFonts w:eastAsiaTheme="majorEastAsia"/>
          <w:i/>
          <w:color w:val="auto"/>
          <w:szCs w:val="28"/>
        </w:rPr>
        <w:footnoteReference w:id="7"/>
      </w:r>
      <w:r w:rsidRPr="007C6AF6">
        <w:rPr>
          <w:i/>
          <w:color w:val="auto"/>
          <w:szCs w:val="28"/>
          <w:vertAlign w:val="superscript"/>
        </w:rPr>
        <w:t>)</w:t>
      </w:r>
      <w:r w:rsidRPr="007C6AF6">
        <w:rPr>
          <w:i/>
          <w:color w:val="auto"/>
          <w:szCs w:val="28"/>
        </w:rPr>
        <w:t>:</w:t>
      </w:r>
    </w:p>
    <w:p w:rsidR="00E84642" w:rsidRPr="007C6AF6" w:rsidRDefault="00E84642" w:rsidP="00E84642">
      <w:pPr>
        <w:spacing w:before="120" w:after="120"/>
        <w:ind w:firstLine="709"/>
        <w:jc w:val="both"/>
        <w:rPr>
          <w:color w:val="auto"/>
          <w:szCs w:val="28"/>
        </w:rPr>
      </w:pPr>
      <w:r w:rsidRPr="007C6AF6">
        <w:rPr>
          <w:color w:val="auto"/>
          <w:szCs w:val="28"/>
        </w:rPr>
        <w:t>+ Thiệt hại về người: Chết 06 người, bị thương 20 người;</w:t>
      </w:r>
    </w:p>
    <w:p w:rsidR="00E84642" w:rsidRPr="007C6AF6" w:rsidRDefault="00E84642" w:rsidP="00E84642">
      <w:pPr>
        <w:spacing w:before="120" w:after="120"/>
        <w:ind w:firstLine="709"/>
        <w:jc w:val="both"/>
        <w:rPr>
          <w:color w:val="auto"/>
          <w:szCs w:val="28"/>
        </w:rPr>
      </w:pPr>
      <w:r w:rsidRPr="007C6AF6">
        <w:rPr>
          <w:color w:val="auto"/>
          <w:szCs w:val="28"/>
        </w:rPr>
        <w:t>+ Mất, thiệt hại về tài sản: 02 điện thoại di động, 01 máy tính xách tay, 30 thẻ nạp điện thoại Viettel loại mệnh giá 20.000đ, 01 giấy chứng nhận quyền sử dụng đất, 37.000.000 đồng tiền mặt, 07 xe mô tô, 01 máy cưa lốc, 01 máy khoan tay, 01 máy chà đa năng, 02 máy cắt cỏ, 03 cây cao su 20 năm tuổi, hư hỏng 04 xe mô tô.</w:t>
      </w:r>
    </w:p>
    <w:p w:rsidR="00E84642" w:rsidRPr="007C6AF6" w:rsidRDefault="00E84642" w:rsidP="00E84642">
      <w:pPr>
        <w:spacing w:before="120" w:after="120"/>
        <w:ind w:firstLine="709"/>
        <w:jc w:val="both"/>
        <w:rPr>
          <w:color w:val="auto"/>
          <w:szCs w:val="28"/>
        </w:rPr>
      </w:pPr>
      <w:r w:rsidRPr="007C6AF6">
        <w:rPr>
          <w:color w:val="auto"/>
          <w:szCs w:val="28"/>
        </w:rPr>
        <w:t>+ Thu hồi: 01 điện thoại di động, 01 máy tính xách tay, 20 thẻ nạp điện thoại Viettel loại mệnh giá 20.000 đ, 07 xe mô tô, 01 máy cưa lốc, 01 máy khoan tay, 01 máy chà đa năng, 02 máy cắt cỏ và hơn 3.000.000 đ tiền mặt.</w:t>
      </w:r>
    </w:p>
    <w:p w:rsidR="00E84642" w:rsidRPr="007C6AF6" w:rsidRDefault="00E84642" w:rsidP="00E84642">
      <w:pPr>
        <w:spacing w:before="120" w:after="120"/>
        <w:ind w:firstLine="709"/>
        <w:jc w:val="both"/>
        <w:rPr>
          <w:i/>
          <w:color w:val="auto"/>
          <w:szCs w:val="28"/>
        </w:rPr>
      </w:pPr>
      <w:r w:rsidRPr="007C6AF6">
        <w:rPr>
          <w:color w:val="auto"/>
          <w:szCs w:val="28"/>
        </w:rPr>
        <w:t xml:space="preserve">- Tội phạm ma túy: 01 vụ </w:t>
      </w:r>
      <w:r w:rsidRPr="007C6AF6">
        <w:rPr>
          <w:i/>
          <w:color w:val="auto"/>
          <w:szCs w:val="28"/>
        </w:rPr>
        <w:t>(Tăng 01 vụ so với năm 2016).</w:t>
      </w:r>
    </w:p>
    <w:p w:rsidR="00E84642" w:rsidRPr="007C6AF6" w:rsidRDefault="00E84642" w:rsidP="00E84642">
      <w:pPr>
        <w:spacing w:before="120" w:after="120"/>
        <w:ind w:firstLine="709"/>
        <w:jc w:val="both"/>
        <w:rPr>
          <w:b/>
          <w:color w:val="auto"/>
          <w:szCs w:val="28"/>
        </w:rPr>
      </w:pPr>
      <w:r w:rsidRPr="007C6AF6">
        <w:rPr>
          <w:b/>
          <w:color w:val="auto"/>
          <w:szCs w:val="28"/>
        </w:rPr>
        <w:t>3. Công tác điều tra, xử lý tội phạm: Tổng: 54 vụ - 79 đối tượng</w:t>
      </w:r>
    </w:p>
    <w:p w:rsidR="00E84642" w:rsidRPr="007C6AF6" w:rsidRDefault="00E84642" w:rsidP="00E84642">
      <w:pPr>
        <w:spacing w:before="120" w:after="120"/>
        <w:ind w:firstLine="709"/>
        <w:jc w:val="both"/>
        <w:rPr>
          <w:b/>
          <w:i/>
          <w:color w:val="auto"/>
          <w:szCs w:val="28"/>
        </w:rPr>
      </w:pPr>
      <w:r w:rsidRPr="007C6AF6">
        <w:rPr>
          <w:b/>
          <w:i/>
          <w:color w:val="auto"/>
          <w:szCs w:val="28"/>
        </w:rPr>
        <w:t>3.1. Điều tra xử lý án về trật tự xã hội: 46 vụ - 66 đối tượng.</w:t>
      </w:r>
    </w:p>
    <w:p w:rsidR="00E84642" w:rsidRPr="007C6AF6" w:rsidRDefault="00E84642" w:rsidP="00E84642">
      <w:pPr>
        <w:spacing w:before="120" w:after="120"/>
        <w:ind w:firstLine="709"/>
        <w:jc w:val="both"/>
        <w:rPr>
          <w:color w:val="auto"/>
          <w:szCs w:val="28"/>
        </w:rPr>
      </w:pPr>
      <w:r w:rsidRPr="007C6AF6">
        <w:rPr>
          <w:color w:val="auto"/>
          <w:szCs w:val="28"/>
        </w:rPr>
        <w:lastRenderedPageBreak/>
        <w:t xml:space="preserve">Trong 46 vụ - 66 đối tượng được phát hiện, Cơ quan CSĐT đã khám phá làm rõ 39 vụ </w:t>
      </w:r>
      <w:r w:rsidRPr="007C6AF6">
        <w:rPr>
          <w:i/>
          <w:color w:val="auto"/>
          <w:szCs w:val="28"/>
        </w:rPr>
        <w:t>(đạt tỷ lệ 84.8%);</w:t>
      </w:r>
      <w:r w:rsidRPr="007C6AF6">
        <w:rPr>
          <w:color w:val="auto"/>
          <w:szCs w:val="28"/>
        </w:rPr>
        <w:t xml:space="preserve"> đã khởi tố 26 vụ - 41 bị can; xử lý hành chính 11 vụ -19 đối tượng; chuyển đơn vị khác 02 vụ - 02 đối tượng; đang xác minh 07 vụ - 04 đối tượng.</w:t>
      </w:r>
    </w:p>
    <w:p w:rsidR="00E84642" w:rsidRPr="007C6AF6" w:rsidRDefault="00E84642" w:rsidP="00E84642">
      <w:pPr>
        <w:spacing w:before="120" w:after="120"/>
        <w:ind w:firstLine="709"/>
        <w:jc w:val="both"/>
        <w:rPr>
          <w:color w:val="auto"/>
          <w:szCs w:val="28"/>
        </w:rPr>
      </w:pPr>
      <w:r w:rsidRPr="007C6AF6">
        <w:rPr>
          <w:color w:val="auto"/>
          <w:szCs w:val="28"/>
        </w:rPr>
        <w:t>Tổng số vụ án thụ lý điều tra là: 33 vụ - 47 bị can; trong đó: khởi tố mới 26 vụ - 41 bị can; án tồn năm 2016 chuyển qua: 05 vụ - 05 bị can; VKS trả hồ sơ điều tra lại: 01 vụ - 01 bị can; tách vụ án: 01 vụ - 00 bị can.</w:t>
      </w:r>
    </w:p>
    <w:p w:rsidR="00E84642" w:rsidRPr="007C6AF6" w:rsidRDefault="00E84642" w:rsidP="00E84642">
      <w:pPr>
        <w:spacing w:before="120" w:after="120"/>
        <w:ind w:firstLine="709"/>
        <w:jc w:val="both"/>
        <w:rPr>
          <w:color w:val="auto"/>
          <w:szCs w:val="28"/>
        </w:rPr>
      </w:pPr>
      <w:r w:rsidRPr="007C6AF6">
        <w:rPr>
          <w:color w:val="auto"/>
          <w:szCs w:val="28"/>
        </w:rPr>
        <w:t xml:space="preserve">Kết quả: Hoàn thành hồ sơ chuyển VKS đề nghị truy tố: 27 vụ - 42 bị can </w:t>
      </w:r>
      <w:r w:rsidRPr="007C6AF6">
        <w:rPr>
          <w:i/>
          <w:color w:val="auto"/>
          <w:szCs w:val="28"/>
        </w:rPr>
        <w:t>(đạt tỷ lệ 81.8%);</w:t>
      </w:r>
      <w:r w:rsidRPr="007C6AF6">
        <w:rPr>
          <w:color w:val="auto"/>
          <w:szCs w:val="28"/>
        </w:rPr>
        <w:t xml:space="preserve"> đình chỉ điều tra 01 vụ - 01 bị can; án chuyển đơn vị khác: 01 vụ - 00 bị can; đang tiếp tục điều tra: 04 vụ - 04 bị can.</w:t>
      </w:r>
    </w:p>
    <w:p w:rsidR="00E84642" w:rsidRPr="007C6AF6" w:rsidRDefault="00E84642" w:rsidP="00E84642">
      <w:pPr>
        <w:spacing w:before="120" w:after="120"/>
        <w:ind w:firstLine="709"/>
        <w:jc w:val="both"/>
        <w:rPr>
          <w:b/>
          <w:i/>
          <w:color w:val="auto"/>
          <w:szCs w:val="28"/>
        </w:rPr>
      </w:pPr>
      <w:r w:rsidRPr="007C6AF6">
        <w:rPr>
          <w:b/>
          <w:i/>
          <w:color w:val="auto"/>
          <w:szCs w:val="28"/>
        </w:rPr>
        <w:t>3.2. Điều tra xử lý án kinh tế</w:t>
      </w:r>
    </w:p>
    <w:p w:rsidR="00E84642" w:rsidRPr="007C6AF6" w:rsidRDefault="00E84642" w:rsidP="00E84642">
      <w:pPr>
        <w:spacing w:before="120" w:after="120"/>
        <w:ind w:firstLine="709"/>
        <w:jc w:val="both"/>
        <w:rPr>
          <w:color w:val="auto"/>
          <w:szCs w:val="28"/>
        </w:rPr>
      </w:pPr>
      <w:r w:rsidRPr="007C6AF6">
        <w:rPr>
          <w:color w:val="auto"/>
          <w:szCs w:val="28"/>
        </w:rPr>
        <w:t xml:space="preserve">Trong 07 vụ - 12 đối tượng được phát hiện, các lực lượng chức năng đã khởi tố 06 vụ - 11 bị can </w:t>
      </w:r>
      <w:r w:rsidRPr="007C6AF6">
        <w:rPr>
          <w:i/>
          <w:color w:val="auto"/>
          <w:szCs w:val="28"/>
        </w:rPr>
        <w:t>(Trong đó: VQG và Hạt kiểm lâm khởi tố chuyển đến 06 vụ, Cơ quan CSĐT khởi tố 11 bị can),</w:t>
      </w:r>
      <w:r w:rsidRPr="007C6AF6">
        <w:rPr>
          <w:color w:val="auto"/>
          <w:szCs w:val="28"/>
        </w:rPr>
        <w:t xml:space="preserve"> ra QĐ không khởi tố: 01 vụ - 01 đối tượng.</w:t>
      </w:r>
    </w:p>
    <w:p w:rsidR="00E84642" w:rsidRPr="007C6AF6" w:rsidRDefault="00E84642" w:rsidP="00E84642">
      <w:pPr>
        <w:spacing w:before="120" w:after="120"/>
        <w:ind w:firstLine="709"/>
        <w:jc w:val="both"/>
        <w:rPr>
          <w:color w:val="auto"/>
          <w:szCs w:val="28"/>
        </w:rPr>
      </w:pPr>
      <w:r w:rsidRPr="007C6AF6">
        <w:rPr>
          <w:color w:val="auto"/>
          <w:szCs w:val="28"/>
        </w:rPr>
        <w:t xml:space="preserve">Kết quả: tạm đình chỉ điều tra: 03 vụ - 00 bị can </w:t>
      </w:r>
      <w:r w:rsidRPr="007C6AF6">
        <w:rPr>
          <w:i/>
          <w:color w:val="auto"/>
          <w:szCs w:val="28"/>
        </w:rPr>
        <w:t>(do hết thời hạn không xác định được bị can),</w:t>
      </w:r>
      <w:r w:rsidRPr="007C6AF6">
        <w:rPr>
          <w:color w:val="auto"/>
          <w:szCs w:val="28"/>
        </w:rPr>
        <w:t xml:space="preserve"> hoàn thành hồ sơ chuyển VKS đề nghị truy tố: 02 vụ - 11 bị can; đang tiếp tục điều tra: 01 vụ - 00 bị can.</w:t>
      </w:r>
    </w:p>
    <w:p w:rsidR="00E84642" w:rsidRPr="007C6AF6" w:rsidRDefault="00E84642" w:rsidP="00E84642">
      <w:pPr>
        <w:spacing w:before="120" w:after="120"/>
        <w:ind w:firstLine="709"/>
        <w:jc w:val="both"/>
        <w:rPr>
          <w:color w:val="auto"/>
          <w:szCs w:val="28"/>
        </w:rPr>
      </w:pPr>
      <w:r w:rsidRPr="007C6AF6">
        <w:rPr>
          <w:b/>
          <w:i/>
          <w:color w:val="auto"/>
          <w:szCs w:val="28"/>
        </w:rPr>
        <w:t xml:space="preserve">3.3. Điều tra xử lý án môi trường: </w:t>
      </w:r>
      <w:r w:rsidRPr="007C6AF6">
        <w:rPr>
          <w:color w:val="auto"/>
          <w:szCs w:val="28"/>
        </w:rPr>
        <w:t>Không</w:t>
      </w:r>
    </w:p>
    <w:p w:rsidR="00E84642" w:rsidRPr="007C6AF6" w:rsidRDefault="00E84642" w:rsidP="00E84642">
      <w:pPr>
        <w:spacing w:before="120" w:after="120"/>
        <w:ind w:firstLine="709"/>
        <w:jc w:val="both"/>
        <w:rPr>
          <w:b/>
          <w:i/>
          <w:color w:val="auto"/>
          <w:szCs w:val="28"/>
        </w:rPr>
      </w:pPr>
      <w:r w:rsidRPr="007C6AF6">
        <w:rPr>
          <w:b/>
          <w:i/>
          <w:color w:val="auto"/>
          <w:szCs w:val="28"/>
        </w:rPr>
        <w:t>3.4. Điều tra xử lý án về ma túy</w:t>
      </w:r>
    </w:p>
    <w:p w:rsidR="00E84642" w:rsidRPr="007C6AF6" w:rsidRDefault="00E84642" w:rsidP="00E84642">
      <w:pPr>
        <w:spacing w:before="120" w:after="120"/>
        <w:ind w:firstLine="709"/>
        <w:jc w:val="both"/>
        <w:rPr>
          <w:color w:val="auto"/>
          <w:szCs w:val="28"/>
        </w:rPr>
      </w:pPr>
      <w:r w:rsidRPr="007C6AF6">
        <w:rPr>
          <w:color w:val="auto"/>
          <w:szCs w:val="28"/>
        </w:rPr>
        <w:t>Trong 01 vụ - 01 đối tượng được phát hiện, Cơ quan CSĐT đã khởi tố: 01 - 01 bị can. Kết quả: Hoàn thành hồ sơ chuyển VKS đề nghị truy tố: 01 vụ - 01 bị can.</w:t>
      </w:r>
    </w:p>
    <w:p w:rsidR="00E84642" w:rsidRPr="007C6AF6" w:rsidRDefault="00E84642" w:rsidP="00E84642">
      <w:pPr>
        <w:spacing w:before="120" w:after="120"/>
        <w:ind w:firstLine="709"/>
        <w:jc w:val="both"/>
        <w:rPr>
          <w:b/>
          <w:i/>
          <w:color w:val="auto"/>
          <w:szCs w:val="28"/>
        </w:rPr>
      </w:pPr>
      <w:r w:rsidRPr="007C6AF6">
        <w:rPr>
          <w:b/>
          <w:i/>
          <w:color w:val="auto"/>
          <w:szCs w:val="28"/>
        </w:rPr>
        <w:t>3.5. Công tác bắt, áp dụng biện pháp ngăn chặn khác</w:t>
      </w:r>
    </w:p>
    <w:p w:rsidR="00E84642" w:rsidRPr="007C6AF6" w:rsidRDefault="00E84642" w:rsidP="00E84642">
      <w:pPr>
        <w:spacing w:before="120" w:after="120"/>
        <w:ind w:firstLine="709"/>
        <w:jc w:val="both"/>
        <w:rPr>
          <w:color w:val="auto"/>
          <w:szCs w:val="28"/>
        </w:rPr>
      </w:pPr>
      <w:r w:rsidRPr="007C6AF6">
        <w:rPr>
          <w:color w:val="auto"/>
          <w:szCs w:val="28"/>
        </w:rPr>
        <w:t xml:space="preserve">Cơ quan Cảnh sát Điều tra Công an huyện đã bắt 34 đối tượng </w:t>
      </w:r>
      <w:r w:rsidRPr="007C6AF6">
        <w:rPr>
          <w:i/>
          <w:color w:val="auto"/>
          <w:szCs w:val="28"/>
        </w:rPr>
        <w:t>(Trong đó, bắt tạm giam 17 trường hợp; bắt khẩn cấp 06 trường hợp; bắt quả tang 02 trường hợp);</w:t>
      </w:r>
      <w:r w:rsidRPr="007C6AF6">
        <w:rPr>
          <w:color w:val="auto"/>
          <w:szCs w:val="28"/>
        </w:rPr>
        <w:t xml:space="preserve"> bắt truy nã 05 trường hợp; đầu thú 04 trường hợp.</w:t>
      </w:r>
    </w:p>
    <w:p w:rsidR="00E84642" w:rsidRPr="007C6AF6" w:rsidRDefault="00E84642" w:rsidP="00E84642">
      <w:pPr>
        <w:spacing w:before="120" w:after="120"/>
        <w:ind w:firstLine="709"/>
        <w:jc w:val="both"/>
        <w:rPr>
          <w:color w:val="auto"/>
          <w:szCs w:val="28"/>
        </w:rPr>
      </w:pPr>
      <w:r w:rsidRPr="007C6AF6">
        <w:rPr>
          <w:color w:val="auto"/>
          <w:szCs w:val="28"/>
        </w:rPr>
        <w:t>Áp dụng biện pháp ngăn chặn khác: cấm đi khỏi nơi cư trú 11 trường hợp; thay đổi biện pháp ngăn chặn khác 01 trường hợp.</w:t>
      </w:r>
    </w:p>
    <w:p w:rsidR="00E84642" w:rsidRPr="007C6AF6" w:rsidRDefault="00E84642" w:rsidP="00E84642">
      <w:pPr>
        <w:spacing w:before="120" w:after="120"/>
        <w:ind w:firstLine="709"/>
        <w:jc w:val="both"/>
        <w:rPr>
          <w:b/>
          <w:i/>
          <w:color w:val="auto"/>
          <w:szCs w:val="28"/>
        </w:rPr>
      </w:pPr>
      <w:r w:rsidRPr="007C6AF6">
        <w:rPr>
          <w:b/>
          <w:i/>
          <w:color w:val="auto"/>
          <w:szCs w:val="28"/>
        </w:rPr>
        <w:t>3.6. Kết quả giải quyết tin báo, tố giác tội phạm</w:t>
      </w:r>
    </w:p>
    <w:p w:rsidR="00E84642" w:rsidRPr="007C6AF6" w:rsidRDefault="00E84642" w:rsidP="00E84642">
      <w:pPr>
        <w:spacing w:before="120" w:after="120"/>
        <w:ind w:firstLine="709"/>
        <w:jc w:val="both"/>
        <w:rPr>
          <w:color w:val="auto"/>
          <w:szCs w:val="28"/>
        </w:rPr>
      </w:pPr>
      <w:r w:rsidRPr="007C6AF6">
        <w:rPr>
          <w:color w:val="auto"/>
          <w:szCs w:val="28"/>
        </w:rPr>
        <w:t xml:space="preserve">Trong năm 2017, lực lượng Công an huyện đã tiếp nhận: 46 tin báo, đơn thư tố giác tội phạm; trong đó: ra quyết định khởi tố VAHS 20 trường hợp; ra quyết định không khởi tố VAHS: 18 trường hợp </w:t>
      </w:r>
      <w:r w:rsidRPr="007C6AF6">
        <w:rPr>
          <w:i/>
          <w:color w:val="auto"/>
          <w:szCs w:val="28"/>
        </w:rPr>
        <w:t>(xử lý hành chính 04 trường hợp);</w:t>
      </w:r>
      <w:r w:rsidRPr="007C6AF6">
        <w:rPr>
          <w:color w:val="auto"/>
          <w:szCs w:val="28"/>
        </w:rPr>
        <w:t xml:space="preserve"> đang tiếp tục điều tra, xác minh 08 trường hợp.</w:t>
      </w:r>
    </w:p>
    <w:p w:rsidR="00E84642" w:rsidRPr="007C6AF6" w:rsidRDefault="00E84642" w:rsidP="00E84642">
      <w:pPr>
        <w:spacing w:before="120" w:after="120"/>
        <w:ind w:firstLine="709"/>
        <w:jc w:val="both"/>
        <w:rPr>
          <w:b/>
          <w:color w:val="auto"/>
          <w:szCs w:val="28"/>
        </w:rPr>
      </w:pPr>
      <w:r w:rsidRPr="007C6AF6">
        <w:rPr>
          <w:b/>
          <w:color w:val="auto"/>
          <w:szCs w:val="28"/>
        </w:rPr>
        <w:t>III. Đánh giá chung</w:t>
      </w:r>
    </w:p>
    <w:p w:rsidR="00E84642" w:rsidRPr="007C6AF6" w:rsidRDefault="00E84642" w:rsidP="00E84642">
      <w:pPr>
        <w:spacing w:before="120" w:after="120"/>
        <w:ind w:firstLine="709"/>
        <w:jc w:val="both"/>
        <w:rPr>
          <w:b/>
          <w:color w:val="auto"/>
          <w:szCs w:val="28"/>
        </w:rPr>
      </w:pPr>
      <w:r w:rsidRPr="007C6AF6">
        <w:rPr>
          <w:b/>
          <w:color w:val="auto"/>
          <w:szCs w:val="28"/>
        </w:rPr>
        <w:t>1. Kết quả đạt được</w:t>
      </w:r>
    </w:p>
    <w:p w:rsidR="00E84642" w:rsidRPr="007C6AF6" w:rsidRDefault="00E84642" w:rsidP="00E84642">
      <w:pPr>
        <w:spacing w:before="120" w:after="120"/>
        <w:ind w:firstLine="709"/>
        <w:jc w:val="both"/>
        <w:rPr>
          <w:color w:val="auto"/>
          <w:szCs w:val="28"/>
        </w:rPr>
      </w:pPr>
      <w:r w:rsidRPr="007C6AF6">
        <w:rPr>
          <w:color w:val="auto"/>
          <w:szCs w:val="28"/>
        </w:rPr>
        <w:t xml:space="preserve">Dưới sự lãnh đạo của UBND tỉnh, Huyện ủy, sự nỗ lực của các cấp, các ngành, các tầng lớp nhân dân, trong đó lực lượng Công an phát huy nòng cốt, chủ động triển khai thực hiện các giải pháp phòng, chống tội phạm và vi phạm pháp </w:t>
      </w:r>
      <w:r w:rsidRPr="007C6AF6">
        <w:rPr>
          <w:color w:val="auto"/>
          <w:szCs w:val="28"/>
        </w:rPr>
        <w:lastRenderedPageBreak/>
        <w:t>luật đã tạo nhiều bước chuyển biến tích cực, nhất là bảo vệ tuyệt đối an toàn trong các ngày lễ kỷ niệm, các sự kiện quan trọng diễn ra trên địa bàn.</w:t>
      </w:r>
    </w:p>
    <w:p w:rsidR="00E84642" w:rsidRPr="007C6AF6" w:rsidRDefault="00E84642" w:rsidP="00E84642">
      <w:pPr>
        <w:spacing w:before="120" w:after="120"/>
        <w:ind w:firstLine="709"/>
        <w:jc w:val="both"/>
        <w:rPr>
          <w:color w:val="auto"/>
          <w:szCs w:val="28"/>
        </w:rPr>
      </w:pPr>
      <w:r w:rsidRPr="007C6AF6">
        <w:rPr>
          <w:color w:val="auto"/>
          <w:szCs w:val="28"/>
        </w:rPr>
        <w:t>Đẩy mạnh công tác phòng ngừa, triển khai đồng bộ các biện pháp công tác, chủ động nắm tình hình, ngăn chặn tội phạm và các hành vi vi phạm pháp luật; kịp thời đấu tranh, điều tra làm rõ tội phạm. Chất lượng, hiệu quả công tác điều tra, bắt, giam giữ, xử lý tội phạm được nâng lên, đảm bảo việc tuân thủ và chấp hành nghiêm pháp luật trong hoạt động tố tụng hình sự, không để xảy ra việc oan, sai trong hoạt động điều tra.</w:t>
      </w:r>
    </w:p>
    <w:p w:rsidR="00E84642" w:rsidRPr="007C6AF6" w:rsidRDefault="00E84642" w:rsidP="00E84642">
      <w:pPr>
        <w:spacing w:before="120" w:after="120"/>
        <w:ind w:firstLine="709"/>
        <w:jc w:val="both"/>
        <w:rPr>
          <w:color w:val="auto"/>
          <w:szCs w:val="28"/>
        </w:rPr>
      </w:pPr>
      <w:r w:rsidRPr="007C6AF6">
        <w:rPr>
          <w:color w:val="auto"/>
          <w:szCs w:val="28"/>
        </w:rPr>
        <w:t>Phong trào toàn dân bảo vệ an ninh Tổ quốc được phát động sâu rộng đã phát huy được hiệu quả, nhất là các địa bàn trọng điểm, phức tạp về an ninh trật tự.</w:t>
      </w:r>
    </w:p>
    <w:p w:rsidR="00E84642" w:rsidRPr="007C6AF6" w:rsidRDefault="00E84642" w:rsidP="00E84642">
      <w:pPr>
        <w:spacing w:before="120" w:after="120"/>
        <w:ind w:firstLine="709"/>
        <w:jc w:val="both"/>
        <w:rPr>
          <w:b/>
          <w:color w:val="auto"/>
          <w:szCs w:val="28"/>
        </w:rPr>
      </w:pPr>
    </w:p>
    <w:p w:rsidR="00E84642" w:rsidRPr="007C6AF6" w:rsidRDefault="00E84642" w:rsidP="00E84642">
      <w:pPr>
        <w:spacing w:before="120" w:after="120"/>
        <w:ind w:firstLine="709"/>
        <w:jc w:val="both"/>
        <w:rPr>
          <w:b/>
          <w:color w:val="auto"/>
          <w:szCs w:val="28"/>
        </w:rPr>
      </w:pPr>
    </w:p>
    <w:p w:rsidR="00E84642" w:rsidRPr="007C6AF6" w:rsidRDefault="00E84642" w:rsidP="00E84642">
      <w:pPr>
        <w:spacing w:before="120" w:after="120"/>
        <w:ind w:firstLine="709"/>
        <w:jc w:val="both"/>
        <w:rPr>
          <w:b/>
          <w:color w:val="auto"/>
          <w:szCs w:val="28"/>
        </w:rPr>
      </w:pPr>
      <w:r w:rsidRPr="007C6AF6">
        <w:rPr>
          <w:b/>
          <w:color w:val="auto"/>
          <w:szCs w:val="28"/>
        </w:rPr>
        <w:t>2. Tồn tại, hạn chế</w:t>
      </w:r>
    </w:p>
    <w:p w:rsidR="00E84642" w:rsidRPr="007C6AF6" w:rsidRDefault="00E84642" w:rsidP="00E84642">
      <w:pPr>
        <w:spacing w:before="120" w:after="120"/>
        <w:ind w:firstLine="709"/>
        <w:jc w:val="both"/>
        <w:rPr>
          <w:color w:val="auto"/>
          <w:szCs w:val="28"/>
        </w:rPr>
      </w:pPr>
      <w:r w:rsidRPr="007C6AF6">
        <w:rPr>
          <w:color w:val="auto"/>
          <w:szCs w:val="28"/>
        </w:rPr>
        <w:t>Một số địa phương, cấp ủy, chính quyền chưa thật sự quan tâm, chưa huy động được sức mạnh của các cấp, ngành trong công tác phòng chống tội phạm. Công tác tuyên truyền, vận động hiệu quả thấp, trong khi đó tình hình tội phạm và tệ nạn xã hội vẫn còn diễn biến phức tạp, phương thức, thủ đoạn hoạt động ngày càng tinh vi, xảo quyệt. Công tác nắm tình hình có thời điểm, địa bàn còn thiếu, bị động.</w:t>
      </w:r>
    </w:p>
    <w:p w:rsidR="00E84642" w:rsidRPr="007C6AF6" w:rsidRDefault="00E84642" w:rsidP="00E84642">
      <w:pPr>
        <w:spacing w:before="120" w:after="120"/>
        <w:ind w:firstLine="709"/>
        <w:jc w:val="both"/>
        <w:rPr>
          <w:color w:val="auto"/>
          <w:szCs w:val="28"/>
        </w:rPr>
      </w:pPr>
      <w:r w:rsidRPr="007C6AF6">
        <w:rPr>
          <w:color w:val="auto"/>
          <w:szCs w:val="28"/>
        </w:rPr>
        <w:t>Lực lượng Công an tại cơ sở còn mỏng, đặc biệt là tại các xã trọng điểm về an ninh trật tự.</w:t>
      </w:r>
    </w:p>
    <w:p w:rsidR="00E84642" w:rsidRPr="007C6AF6" w:rsidRDefault="00E84642" w:rsidP="00E84642">
      <w:pPr>
        <w:spacing w:before="120" w:after="120"/>
        <w:ind w:firstLine="709"/>
        <w:jc w:val="both"/>
        <w:rPr>
          <w:b/>
          <w:color w:val="auto"/>
          <w:szCs w:val="28"/>
        </w:rPr>
      </w:pPr>
      <w:r w:rsidRPr="007C6AF6">
        <w:rPr>
          <w:b/>
          <w:color w:val="auto"/>
          <w:szCs w:val="28"/>
        </w:rPr>
        <w:t>3. Nguyên nhân</w:t>
      </w:r>
    </w:p>
    <w:p w:rsidR="00E84642" w:rsidRPr="007C6AF6" w:rsidRDefault="00E84642" w:rsidP="00E84642">
      <w:pPr>
        <w:spacing w:before="120" w:after="120"/>
        <w:ind w:firstLine="709"/>
        <w:jc w:val="both"/>
        <w:rPr>
          <w:color w:val="auto"/>
          <w:szCs w:val="28"/>
        </w:rPr>
      </w:pPr>
      <w:r w:rsidRPr="007C6AF6">
        <w:rPr>
          <w:color w:val="auto"/>
          <w:szCs w:val="28"/>
        </w:rPr>
        <w:t>Lãnh đạo tại một số địa phương còn thiếu kiểm tra, đôn đốc, hướng dẫn việc chấp hành pháp luật trong công tác điều tra, xử lý tội phạm, thiếu sự quyết liệt trong công tác đấu tranh phòng, chống tội phạm.</w:t>
      </w:r>
    </w:p>
    <w:p w:rsidR="00E84642" w:rsidRPr="007C6AF6" w:rsidRDefault="00E84642" w:rsidP="00E84642">
      <w:pPr>
        <w:spacing w:before="120" w:after="120"/>
        <w:ind w:firstLine="709"/>
        <w:jc w:val="both"/>
        <w:rPr>
          <w:color w:val="auto"/>
          <w:szCs w:val="28"/>
        </w:rPr>
      </w:pPr>
      <w:r w:rsidRPr="007C6AF6">
        <w:rPr>
          <w:color w:val="auto"/>
          <w:szCs w:val="28"/>
        </w:rPr>
        <w:t>Mức phụ cấp cho thành viên Tổ dân phố, công an viên các xã còn thấp, khó khăn cho việc tổ chức thực hiện theo yêu cầu công việc được giao.</w:t>
      </w:r>
    </w:p>
    <w:p w:rsidR="00E84642" w:rsidRPr="007C6AF6" w:rsidRDefault="00E84642" w:rsidP="00E84642">
      <w:pPr>
        <w:spacing w:before="120" w:after="120"/>
        <w:ind w:firstLine="709"/>
        <w:jc w:val="both"/>
        <w:rPr>
          <w:color w:val="auto"/>
          <w:szCs w:val="28"/>
        </w:rPr>
      </w:pPr>
      <w:r w:rsidRPr="007C6AF6">
        <w:rPr>
          <w:color w:val="auto"/>
          <w:szCs w:val="28"/>
        </w:rPr>
        <w:t>Tinh thần cảnh giác, ý thức phòng, chống tội phạm của một bộ phận người dân chưa cao, còn nhiều sơ hở tạo điều kiện cho tội phạm lợi dụng.</w:t>
      </w:r>
    </w:p>
    <w:p w:rsidR="00E84642" w:rsidRPr="007C6AF6" w:rsidRDefault="00E84642" w:rsidP="00E84642">
      <w:pPr>
        <w:spacing w:before="120" w:after="120"/>
        <w:ind w:firstLine="709"/>
        <w:jc w:val="both"/>
        <w:rPr>
          <w:b/>
          <w:color w:val="auto"/>
          <w:szCs w:val="28"/>
        </w:rPr>
      </w:pPr>
      <w:r w:rsidRPr="007C6AF6">
        <w:rPr>
          <w:b/>
          <w:color w:val="auto"/>
          <w:szCs w:val="28"/>
        </w:rPr>
        <w:t>III. Phương hướng, nhiệm vụ và giải pháp thời gian tới</w:t>
      </w:r>
    </w:p>
    <w:p w:rsidR="00E84642" w:rsidRPr="007C6AF6" w:rsidRDefault="00E84642" w:rsidP="00E84642">
      <w:pPr>
        <w:spacing w:before="120" w:after="120"/>
        <w:ind w:firstLine="709"/>
        <w:jc w:val="both"/>
        <w:rPr>
          <w:color w:val="auto"/>
          <w:szCs w:val="28"/>
        </w:rPr>
      </w:pPr>
      <w:r w:rsidRPr="007C6AF6">
        <w:rPr>
          <w:color w:val="auto"/>
          <w:szCs w:val="28"/>
        </w:rPr>
        <w:t xml:space="preserve">Tiếp tục tham mưu cho cấp Uỷ chỉ đạo triển khai quán triệt thực hiện đầy đủ có hiệu quả các chủ trương của Đảng, pháp luật của nhà nước về công tác đảm bảo an ninh, trật tự; huy động sức mạnh của hệ thống chính trị thực hiện có hiệu quả các giải pháp đảm bảo an ninh trật tự gắn với phát triển kinh tế - xã hội của địa phương, trọng tâm là thực hiện Nghị quyết số 28/NQ/TW của Ban chấp hành Trung ưong Đảng </w:t>
      </w:r>
      <w:r w:rsidRPr="007C6AF6">
        <w:rPr>
          <w:i/>
          <w:color w:val="auto"/>
          <w:szCs w:val="28"/>
        </w:rPr>
        <w:t>(Khóa XI)</w:t>
      </w:r>
      <w:r w:rsidRPr="007C6AF6">
        <w:rPr>
          <w:color w:val="auto"/>
          <w:szCs w:val="28"/>
        </w:rPr>
        <w:t xml:space="preserve"> về “Chiến lược bảo vệ Tổ quốc trong tình hình mới”; Chỉ thị số 46-CT/TW, ngày 22/6/2015 của Bộ Chính trị Khóa XI về “Tăng cường sự lãnh đạo của Đảng đối với công tác đảm bảo an ninh, trật tự trong tình hình mới”; Nghị quyết số 04-NQ/TW, ngày 30/10/2016 của Ban Chấp hành Trung ương </w:t>
      </w:r>
      <w:r w:rsidRPr="007C6AF6">
        <w:rPr>
          <w:color w:val="auto"/>
          <w:szCs w:val="28"/>
        </w:rPr>
        <w:lastRenderedPageBreak/>
        <w:t>Đảng khóa XII về tăng cường xây dựng, chỉnh đốn Đảng, ngăn chặn, đẩy lùi sự suy thoái về tư tưởng, chính trị, đạo đức, lối sống, những biểu hiện “tự diễn biến”, “tự chuyển hóa” trong nội bộ; Kế hoạch của Huyện ủy về lãnh đạo nhiệm vụ công tác đảm bảo ANTT nam 2018...</w:t>
      </w:r>
    </w:p>
    <w:p w:rsidR="00E84642" w:rsidRPr="007C6AF6" w:rsidRDefault="00E84642" w:rsidP="00E84642">
      <w:pPr>
        <w:spacing w:before="120" w:after="120"/>
        <w:ind w:firstLine="709"/>
        <w:jc w:val="both"/>
        <w:rPr>
          <w:color w:val="auto"/>
          <w:szCs w:val="28"/>
        </w:rPr>
      </w:pPr>
      <w:r w:rsidRPr="007C6AF6">
        <w:rPr>
          <w:color w:val="auto"/>
          <w:szCs w:val="28"/>
        </w:rPr>
        <w:t>Nâng cao chất lượng công tác nắm, dự báo tình hình từ bên ngoài tác động vào địa bàn, quản lý chặt địa bàn, đối tượng, chủ động phòng ngừa, phát hiện, ngăn chặn làm thất bại mọi âm mưu hoạt động phá hoại. Tập trung lực lượng triển khai đồng bộ các giải pháp đảm bảo an ninh trật tự, bảo vệ tuyệt đối an toàn các sự kiện kinh tế, chính trị diễn ra trên địa bàn.</w:t>
      </w:r>
    </w:p>
    <w:p w:rsidR="00E84642" w:rsidRPr="007C6AF6" w:rsidRDefault="00E84642" w:rsidP="00E84642">
      <w:pPr>
        <w:spacing w:before="120" w:after="120"/>
        <w:ind w:firstLine="709"/>
        <w:jc w:val="both"/>
        <w:rPr>
          <w:color w:val="auto"/>
          <w:szCs w:val="28"/>
        </w:rPr>
      </w:pPr>
      <w:r w:rsidRPr="007C6AF6">
        <w:rPr>
          <w:color w:val="auto"/>
          <w:szCs w:val="28"/>
        </w:rPr>
        <w:t>Tiếp tục phát huy hiệu quả hoạt động phối hợp trong điều tra, truy tố, xét xử và thi hành án hình sự, tập trung chỉ đạo nâng cao chất lượng công tác điều tra xử lý tội phạm, giải quyết nhanh các vụ án điểm đưa ra xét xử để kịp thời phục vụ yêu cầu phòng ngừa tội phạm.</w:t>
      </w:r>
    </w:p>
    <w:p w:rsidR="00E84642" w:rsidRPr="007C6AF6" w:rsidRDefault="00E84642" w:rsidP="00E84642">
      <w:pPr>
        <w:spacing w:before="120" w:after="120"/>
        <w:ind w:firstLine="709"/>
        <w:jc w:val="both"/>
        <w:rPr>
          <w:color w:val="auto"/>
          <w:szCs w:val="28"/>
        </w:rPr>
      </w:pPr>
      <w:r w:rsidRPr="007C6AF6">
        <w:rPr>
          <w:color w:val="auto"/>
          <w:szCs w:val="28"/>
        </w:rPr>
        <w:t>Nâng cao hiệu quả, hiệu lực quản lý nhà nước về an ninh, trật tự an toàn xã hội, tăng cường quản lý cư trú, quản lý ngành nghề kinh doanh...</w:t>
      </w:r>
    </w:p>
    <w:p w:rsidR="00E84642" w:rsidRPr="007C6AF6" w:rsidRDefault="00E84642" w:rsidP="00E84642">
      <w:pPr>
        <w:spacing w:before="120" w:after="120"/>
        <w:ind w:firstLine="709"/>
        <w:jc w:val="both"/>
        <w:rPr>
          <w:color w:val="auto"/>
          <w:szCs w:val="28"/>
        </w:rPr>
      </w:pPr>
      <w:r w:rsidRPr="007C6AF6">
        <w:rPr>
          <w:color w:val="auto"/>
          <w:szCs w:val="28"/>
        </w:rPr>
        <w:t>Tăng cường công tác phối hợp với các lực lượng nghiệp vụ, cơ quan đoàn thể, chính quyền địa phương trong công cuộc đấu tranh phòng chống tội phạm, vi phạm pháp luật trên địa bàn.</w:t>
      </w:r>
    </w:p>
    <w:p w:rsidR="00E84642" w:rsidRPr="007C6AF6" w:rsidRDefault="00E84642" w:rsidP="00E84642">
      <w:pPr>
        <w:spacing w:before="120" w:after="120"/>
        <w:ind w:firstLine="709"/>
        <w:jc w:val="both"/>
        <w:rPr>
          <w:color w:val="auto"/>
          <w:szCs w:val="28"/>
        </w:rPr>
      </w:pPr>
      <w:r w:rsidRPr="007C6AF6">
        <w:rPr>
          <w:color w:val="auto"/>
          <w:szCs w:val="28"/>
        </w:rPr>
        <w:t>Đổi mới nội dung, hình thức tuyên truyền, phổ biến giáo dục pháp luật ngày càng đi vào chiều sâu, gắn kết với các phong trào, cuộc vận động phát triển kinh tế - xã hội ở địa phương, nhất là phong trào toàn dân đoàn kết xây dựng nông thôn mới, phong trào xóa đói giảm nghèo....</w:t>
      </w:r>
    </w:p>
    <w:p w:rsidR="00E84642" w:rsidRPr="007C6AF6" w:rsidRDefault="00E84642" w:rsidP="00E84642">
      <w:pPr>
        <w:spacing w:before="120" w:after="120"/>
        <w:ind w:firstLine="709"/>
        <w:jc w:val="both"/>
        <w:rPr>
          <w:color w:val="auto"/>
          <w:szCs w:val="28"/>
        </w:rPr>
      </w:pPr>
      <w:r w:rsidRPr="007C6AF6">
        <w:rPr>
          <w:color w:val="auto"/>
          <w:szCs w:val="28"/>
        </w:rPr>
        <w:t>Trên đây là báo cáo công tác phòng, chống tội phạm, vi phạm pháp luật năm 2017 trên địa bàn huyện, UBND huyện kính báo cáo HĐND huyện./.</w:t>
      </w:r>
    </w:p>
    <w:tbl>
      <w:tblPr>
        <w:tblW w:w="9622" w:type="dxa"/>
        <w:tblInd w:w="108" w:type="dxa"/>
        <w:tblLook w:val="04A0"/>
      </w:tblPr>
      <w:tblGrid>
        <w:gridCol w:w="4665"/>
        <w:gridCol w:w="4957"/>
      </w:tblGrid>
      <w:tr w:rsidR="00E84642" w:rsidRPr="007C6AF6" w:rsidTr="004E3FBB">
        <w:trPr>
          <w:trHeight w:val="1912"/>
        </w:trPr>
        <w:tc>
          <w:tcPr>
            <w:tcW w:w="4665" w:type="dxa"/>
          </w:tcPr>
          <w:p w:rsidR="00E84642" w:rsidRPr="008B7BE1" w:rsidRDefault="00E84642" w:rsidP="004E3FBB">
            <w:pPr>
              <w:jc w:val="both"/>
              <w:rPr>
                <w:bCs/>
                <w:color w:val="auto"/>
                <w:sz w:val="24"/>
              </w:rPr>
            </w:pPr>
            <w:r w:rsidRPr="008B7BE1">
              <w:rPr>
                <w:b/>
                <w:i/>
                <w:iCs/>
                <w:color w:val="auto"/>
                <w:sz w:val="24"/>
              </w:rPr>
              <w:t>Nơi nhận</w:t>
            </w:r>
            <w:r w:rsidRPr="008B7BE1">
              <w:rPr>
                <w:bCs/>
                <w:color w:val="auto"/>
                <w:sz w:val="24"/>
              </w:rPr>
              <w:t>:</w:t>
            </w:r>
          </w:p>
          <w:p w:rsidR="00E84642" w:rsidRPr="008B7BE1" w:rsidRDefault="00E84642" w:rsidP="004E3FBB">
            <w:pPr>
              <w:jc w:val="both"/>
              <w:rPr>
                <w:bCs/>
                <w:color w:val="auto"/>
                <w:sz w:val="22"/>
              </w:rPr>
            </w:pPr>
            <w:r w:rsidRPr="008B7BE1">
              <w:rPr>
                <w:bCs/>
                <w:color w:val="auto"/>
                <w:sz w:val="22"/>
                <w:szCs w:val="22"/>
              </w:rPr>
              <w:t>- TT Huyện ủy;</w:t>
            </w:r>
          </w:p>
          <w:p w:rsidR="00E84642" w:rsidRPr="008B7BE1" w:rsidRDefault="00E84642" w:rsidP="004E3FBB">
            <w:pPr>
              <w:jc w:val="both"/>
              <w:rPr>
                <w:bCs/>
                <w:color w:val="auto"/>
                <w:sz w:val="22"/>
              </w:rPr>
            </w:pPr>
            <w:r w:rsidRPr="008B7BE1">
              <w:rPr>
                <w:bCs/>
                <w:color w:val="auto"/>
                <w:sz w:val="22"/>
                <w:szCs w:val="22"/>
              </w:rPr>
              <w:t>- HĐND huyện;</w:t>
            </w:r>
          </w:p>
          <w:p w:rsidR="00E84642" w:rsidRPr="007C6AF6" w:rsidRDefault="00E84642" w:rsidP="004E3FBB">
            <w:pPr>
              <w:widowControl w:val="0"/>
              <w:jc w:val="both"/>
              <w:rPr>
                <w:bCs/>
                <w:color w:val="auto"/>
                <w:szCs w:val="28"/>
                <w:lang w:val="vi-VN" w:eastAsia="vi-VN" w:bidi="vi-VN"/>
              </w:rPr>
            </w:pPr>
            <w:r w:rsidRPr="008B7BE1">
              <w:rPr>
                <w:bCs/>
                <w:color w:val="auto"/>
                <w:sz w:val="22"/>
                <w:szCs w:val="22"/>
              </w:rPr>
              <w:t>- Lưu: VT-LT.</w:t>
            </w:r>
          </w:p>
        </w:tc>
        <w:tc>
          <w:tcPr>
            <w:tcW w:w="4957" w:type="dxa"/>
          </w:tcPr>
          <w:p w:rsidR="00E84642" w:rsidRPr="007C6AF6" w:rsidRDefault="00E84642" w:rsidP="004E3FBB">
            <w:pPr>
              <w:jc w:val="center"/>
              <w:rPr>
                <w:b/>
                <w:bCs/>
                <w:color w:val="auto"/>
                <w:szCs w:val="28"/>
              </w:rPr>
            </w:pPr>
            <w:r w:rsidRPr="007C6AF6">
              <w:rPr>
                <w:b/>
                <w:bCs/>
                <w:color w:val="auto"/>
                <w:szCs w:val="28"/>
              </w:rPr>
              <w:t>TM. UỶ BAN NHÂN DÂN</w:t>
            </w:r>
          </w:p>
          <w:p w:rsidR="00E84642" w:rsidRPr="007C6AF6" w:rsidRDefault="00E84642" w:rsidP="004E3FBB">
            <w:pPr>
              <w:jc w:val="center"/>
              <w:rPr>
                <w:b/>
                <w:color w:val="auto"/>
                <w:szCs w:val="28"/>
              </w:rPr>
            </w:pPr>
            <w:r w:rsidRPr="007C6AF6">
              <w:rPr>
                <w:b/>
                <w:color w:val="auto"/>
                <w:szCs w:val="28"/>
              </w:rPr>
              <w:t>KT. CHỦ TỊCH</w:t>
            </w:r>
          </w:p>
          <w:p w:rsidR="00E84642" w:rsidRPr="007C6AF6" w:rsidRDefault="00E84642" w:rsidP="004E3FBB">
            <w:pPr>
              <w:jc w:val="center"/>
              <w:rPr>
                <w:b/>
                <w:color w:val="auto"/>
                <w:szCs w:val="28"/>
              </w:rPr>
            </w:pPr>
            <w:r w:rsidRPr="007C6AF6">
              <w:rPr>
                <w:b/>
                <w:color w:val="auto"/>
                <w:szCs w:val="28"/>
              </w:rPr>
              <w:t>PHÓ CHỦ TỊCH</w:t>
            </w:r>
          </w:p>
          <w:p w:rsidR="00E84642" w:rsidRPr="007C6AF6" w:rsidRDefault="00E84642" w:rsidP="004E3FBB">
            <w:pPr>
              <w:widowControl w:val="0"/>
              <w:jc w:val="center"/>
              <w:rPr>
                <w:b/>
                <w:bCs/>
                <w:color w:val="auto"/>
                <w:szCs w:val="28"/>
                <w:lang w:eastAsia="vi-VN" w:bidi="vi-VN"/>
              </w:rPr>
            </w:pPr>
            <w:r w:rsidRPr="007C6AF6">
              <w:rPr>
                <w:b/>
                <w:bCs/>
                <w:color w:val="auto"/>
                <w:szCs w:val="28"/>
                <w:lang w:eastAsia="vi-VN" w:bidi="vi-VN"/>
              </w:rPr>
              <w:t>(Đã ký)</w:t>
            </w:r>
          </w:p>
          <w:p w:rsidR="00E84642" w:rsidRPr="007C6AF6" w:rsidRDefault="00E84642" w:rsidP="004E3FBB">
            <w:pPr>
              <w:widowControl w:val="0"/>
              <w:jc w:val="center"/>
              <w:rPr>
                <w:b/>
                <w:bCs/>
                <w:color w:val="auto"/>
                <w:szCs w:val="28"/>
                <w:lang w:eastAsia="vi-VN" w:bidi="vi-VN"/>
              </w:rPr>
            </w:pPr>
          </w:p>
          <w:p w:rsidR="00E84642" w:rsidRPr="007C6AF6" w:rsidRDefault="00E84642" w:rsidP="004E3FBB">
            <w:pPr>
              <w:widowControl w:val="0"/>
              <w:jc w:val="center"/>
              <w:rPr>
                <w:b/>
                <w:bCs/>
                <w:color w:val="auto"/>
                <w:szCs w:val="28"/>
                <w:lang w:eastAsia="vi-VN" w:bidi="vi-VN"/>
              </w:rPr>
            </w:pPr>
            <w:r w:rsidRPr="007C6AF6">
              <w:rPr>
                <w:b/>
                <w:bCs/>
                <w:color w:val="auto"/>
                <w:szCs w:val="28"/>
                <w:lang w:eastAsia="vi-VN" w:bidi="vi-VN"/>
              </w:rPr>
              <w:t>Nguyễn Hữu Thạnh</w:t>
            </w:r>
          </w:p>
        </w:tc>
      </w:tr>
    </w:tbl>
    <w:p w:rsidR="00E84642" w:rsidRPr="007C6AF6" w:rsidRDefault="00E84642" w:rsidP="00E84642">
      <w:pPr>
        <w:spacing w:before="120" w:after="120"/>
        <w:ind w:firstLine="709"/>
        <w:jc w:val="both"/>
        <w:rPr>
          <w:color w:val="auto"/>
          <w:szCs w:val="28"/>
        </w:rPr>
      </w:pPr>
    </w:p>
    <w:p w:rsidR="00E84642" w:rsidRPr="007C6AF6" w:rsidRDefault="00E84642" w:rsidP="00E84642">
      <w:pPr>
        <w:spacing w:before="120" w:after="120"/>
        <w:rPr>
          <w:color w:val="auto"/>
          <w:szCs w:val="28"/>
        </w:rPr>
      </w:pPr>
      <w:r w:rsidRPr="007C6AF6">
        <w:rPr>
          <w:color w:val="auto"/>
          <w:szCs w:val="28"/>
        </w:rPr>
        <w:br w:type="page"/>
      </w: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D2" w:rsidRDefault="004C0ED2" w:rsidP="00E84642">
      <w:r>
        <w:separator/>
      </w:r>
    </w:p>
  </w:endnote>
  <w:endnote w:type="continuationSeparator" w:id="1">
    <w:p w:rsidR="004C0ED2" w:rsidRDefault="004C0ED2" w:rsidP="00E84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98"/>
      <w:docPartObj>
        <w:docPartGallery w:val="Page Numbers (Bottom of Page)"/>
        <w:docPartUnique/>
      </w:docPartObj>
    </w:sdtPr>
    <w:sdtContent>
      <w:p w:rsidR="000B5229" w:rsidRDefault="000B5229">
        <w:pPr>
          <w:pStyle w:val="Footer"/>
          <w:jc w:val="center"/>
        </w:pPr>
        <w:fldSimple w:instr=" PAGE   \* MERGEFORMAT ">
          <w:r>
            <w:rPr>
              <w:noProof/>
            </w:rPr>
            <w:t>8</w:t>
          </w:r>
        </w:fldSimple>
      </w:p>
    </w:sdtContent>
  </w:sdt>
  <w:p w:rsidR="000B5229" w:rsidRDefault="000B5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D2" w:rsidRDefault="004C0ED2" w:rsidP="00E84642">
      <w:r>
        <w:separator/>
      </w:r>
    </w:p>
  </w:footnote>
  <w:footnote w:type="continuationSeparator" w:id="1">
    <w:p w:rsidR="004C0ED2" w:rsidRDefault="004C0ED2" w:rsidP="00E84642">
      <w:r>
        <w:continuationSeparator/>
      </w:r>
    </w:p>
  </w:footnote>
  <w:footnote w:id="2">
    <w:p w:rsidR="00E84642" w:rsidRPr="00B14177" w:rsidRDefault="00E84642" w:rsidP="00E84642">
      <w:pPr>
        <w:ind w:firstLine="567"/>
        <w:jc w:val="both"/>
        <w:rPr>
          <w:color w:val="auto"/>
          <w:sz w:val="20"/>
          <w:szCs w:val="20"/>
        </w:rPr>
      </w:pPr>
      <w:r w:rsidRPr="00B14177">
        <w:rPr>
          <w:color w:val="auto"/>
          <w:sz w:val="20"/>
          <w:szCs w:val="20"/>
          <w:vertAlign w:val="superscript"/>
        </w:rPr>
        <w:t>(</w:t>
      </w:r>
      <w:r w:rsidRPr="00B14177">
        <w:rPr>
          <w:rStyle w:val="FootnoteReference"/>
          <w:rFonts w:eastAsiaTheme="majorEastAsia"/>
          <w:color w:val="auto"/>
          <w:sz w:val="20"/>
          <w:szCs w:val="20"/>
        </w:rPr>
        <w:footnoteRef/>
      </w:r>
      <w:r w:rsidRPr="00B14177">
        <w:rPr>
          <w:color w:val="auto"/>
          <w:sz w:val="20"/>
          <w:szCs w:val="20"/>
          <w:vertAlign w:val="superscript"/>
        </w:rPr>
        <w:t xml:space="preserve">) </w:t>
      </w:r>
      <w:r w:rsidRPr="00B14177">
        <w:rPr>
          <w:color w:val="auto"/>
          <w:sz w:val="20"/>
          <w:szCs w:val="20"/>
        </w:rPr>
        <w:t>Kế hoạch số 37/KH-UBND ngày 21/3/2017 về việc thực hiện Chương trình phòng, chống mua bán người 2017; Kế hoạch số 33/KH-UBND ngày 15/8/2017 vê việc triển khai thực hiện chiến lược Quốc gia phòng, chống tội phạm đến năm 2020 trên địa bàn huyện; Công văn số 10/UBND-TH ngày 04/1/2017 tiếp tục thực hiện Chỉ thị 18-CT/TW của Ban Bí thư Trung ương về đảm bảo trật tự ATGT; Công văn số 51/UBND-TH ngày 13/01/2017 về việc tổ chức Lễ ra quân năm ATGT và tăng cường công tác đảm bảo ATGT nhân dịp Tết 2017; Công văn số 101/UBND- TH ngày 24/01/2017 triển khai thực hiện chỉ thị số 01/CT-UBND ngày 16/01/2017 của UBND tỉnh; Công văn số 102/UBND-TH ngày 25/01/2017 thực hiện kết luận của Thường trực Tỉnh ủy về tăng cường an ninh trật tự; Công văn số 599/UBND-TH ngày 27/4/2017 về việc tăng cường công tác đảm bảo trật tự an toàn giao thông trên địa bàn huyện; Công văn số 587/UBND-TH ngày 25/4/2017 về việc triển khai thực hiện chiến lược quốc gia phòng, chống tội phạm đến năm 2020 trên địa bàn huyện; Công văn số 593/UBND-TH ngày 26/4/2017 về việc tăng cường công tác phòng, chống ma túy trên địa bàn huyện; Công văn số 599/UBND-TH ngày 27/4/2017 về việc tăng cường công tác đảm bào trật tự an toàn giao thông trên địa bàn huyện; Công văn số 813/UBND-TH ngày 13/6/2017 về việc triển khai tháng hành động phòng, chống ma tuý năm 2017; Công văn số 996/UBND-TH ngày 21/7/2017 về việc tăng cường công tác phòng, chống tội phạm trên địa bàn; Công vãn sổ 1441/UBND ngày 11/10/2017 về việc triển khai công tác phòng, chống tội phạm, vi phạm pháp luật trên địa bàn.</w:t>
      </w:r>
    </w:p>
  </w:footnote>
  <w:footnote w:id="3">
    <w:p w:rsidR="00E84642" w:rsidRPr="00B14177" w:rsidRDefault="00E84642" w:rsidP="00E84642">
      <w:pPr>
        <w:pStyle w:val="FootnoteText"/>
        <w:ind w:firstLine="567"/>
        <w:jc w:val="both"/>
      </w:pPr>
      <w:r w:rsidRPr="00B14177">
        <w:rPr>
          <w:vertAlign w:val="superscript"/>
        </w:rPr>
        <w:t>(</w:t>
      </w:r>
      <w:r w:rsidRPr="00B14177">
        <w:rPr>
          <w:rStyle w:val="FootnoteReference"/>
          <w:rFonts w:eastAsiaTheme="majorEastAsia"/>
        </w:rPr>
        <w:footnoteRef/>
      </w:r>
      <w:r w:rsidRPr="00B14177">
        <w:rPr>
          <w:vertAlign w:val="superscript"/>
        </w:rPr>
        <w:t>)</w:t>
      </w:r>
      <w:r w:rsidRPr="00B14177">
        <w:t xml:space="preserve"> Quyết định số 1211/QĐ-UBND ngày 21/7/2017.</w:t>
      </w:r>
    </w:p>
  </w:footnote>
  <w:footnote w:id="4">
    <w:p w:rsidR="00E84642" w:rsidRPr="00B14177" w:rsidRDefault="00E84642" w:rsidP="00E84642">
      <w:pPr>
        <w:ind w:firstLine="567"/>
        <w:jc w:val="both"/>
        <w:rPr>
          <w:color w:val="auto"/>
        </w:rPr>
      </w:pPr>
      <w:r w:rsidRPr="00B14177">
        <w:rPr>
          <w:color w:val="auto"/>
          <w:sz w:val="20"/>
          <w:szCs w:val="20"/>
          <w:vertAlign w:val="superscript"/>
        </w:rPr>
        <w:t>(</w:t>
      </w:r>
      <w:r w:rsidRPr="00B14177">
        <w:rPr>
          <w:rStyle w:val="FootnoteReference"/>
          <w:rFonts w:eastAsiaTheme="majorEastAsia"/>
          <w:color w:val="auto"/>
          <w:sz w:val="20"/>
          <w:szCs w:val="20"/>
        </w:rPr>
        <w:footnoteRef/>
      </w:r>
      <w:r w:rsidRPr="00B14177">
        <w:rPr>
          <w:color w:val="auto"/>
          <w:sz w:val="20"/>
          <w:szCs w:val="20"/>
          <w:vertAlign w:val="superscript"/>
        </w:rPr>
        <w:t xml:space="preserve">) </w:t>
      </w:r>
      <w:r w:rsidRPr="00B14177">
        <w:rPr>
          <w:color w:val="auto"/>
          <w:sz w:val="20"/>
          <w:szCs w:val="20"/>
        </w:rPr>
        <w:t>Tổ chức tuyên truyền cho hơn 1.520 lượt người tham gia, phát hành trên 2.500 tờ rơi, áp phích về ATGT, đưa 05 tin, bài, phóng sự về TTATGT trên các phương tiện thông tin đại chúng...</w:t>
      </w:r>
    </w:p>
  </w:footnote>
  <w:footnote w:id="5">
    <w:p w:rsidR="00E84642" w:rsidRPr="00B14177" w:rsidRDefault="00E84642" w:rsidP="00E84642">
      <w:pPr>
        <w:ind w:firstLine="567"/>
        <w:jc w:val="both"/>
        <w:rPr>
          <w:color w:val="auto"/>
        </w:rPr>
      </w:pPr>
      <w:r w:rsidRPr="00B14177">
        <w:rPr>
          <w:color w:val="auto"/>
          <w:sz w:val="20"/>
          <w:szCs w:val="20"/>
          <w:vertAlign w:val="superscript"/>
        </w:rPr>
        <w:t>(</w:t>
      </w:r>
      <w:r w:rsidRPr="00B14177">
        <w:rPr>
          <w:rStyle w:val="FootnoteReference"/>
          <w:rFonts w:eastAsiaTheme="majorEastAsia"/>
          <w:color w:val="auto"/>
          <w:sz w:val="20"/>
          <w:szCs w:val="20"/>
        </w:rPr>
        <w:footnoteRef/>
      </w:r>
      <w:r w:rsidRPr="00B14177">
        <w:rPr>
          <w:color w:val="auto"/>
          <w:sz w:val="20"/>
          <w:szCs w:val="20"/>
          <w:vertAlign w:val="superscript"/>
        </w:rPr>
        <w:t xml:space="preserve">) </w:t>
      </w:r>
      <w:r w:rsidRPr="00B14177">
        <w:rPr>
          <w:color w:val="auto"/>
          <w:sz w:val="20"/>
          <w:szCs w:val="20"/>
        </w:rPr>
        <w:t xml:space="preserve"> Gồm: 10 súng kíp tự chế, 01 súng AK, 01 súng hơi, 11 súng tự chế, 02 mã tấu.</w:t>
      </w:r>
    </w:p>
  </w:footnote>
  <w:footnote w:id="6">
    <w:p w:rsidR="00E84642" w:rsidRPr="00B14177" w:rsidRDefault="00E84642" w:rsidP="00E84642">
      <w:pPr>
        <w:ind w:firstLine="567"/>
        <w:jc w:val="both"/>
        <w:rPr>
          <w:color w:val="auto"/>
          <w:sz w:val="20"/>
          <w:szCs w:val="20"/>
        </w:rPr>
      </w:pPr>
      <w:r w:rsidRPr="00B14177">
        <w:rPr>
          <w:color w:val="auto"/>
          <w:sz w:val="20"/>
          <w:szCs w:val="20"/>
          <w:vertAlign w:val="superscript"/>
        </w:rPr>
        <w:t>(</w:t>
      </w:r>
      <w:r w:rsidRPr="00B14177">
        <w:rPr>
          <w:rStyle w:val="FootnoteReference"/>
          <w:rFonts w:eastAsiaTheme="majorEastAsia"/>
          <w:color w:val="auto"/>
          <w:sz w:val="20"/>
          <w:szCs w:val="20"/>
        </w:rPr>
        <w:footnoteRef/>
      </w:r>
      <w:r w:rsidRPr="00B14177">
        <w:rPr>
          <w:color w:val="auto"/>
          <w:sz w:val="20"/>
          <w:szCs w:val="20"/>
          <w:vertAlign w:val="superscript"/>
        </w:rPr>
        <w:t>)</w:t>
      </w:r>
      <w:r w:rsidRPr="00B14177">
        <w:rPr>
          <w:color w:val="auto"/>
          <w:sz w:val="20"/>
          <w:szCs w:val="20"/>
        </w:rPr>
        <w:t xml:space="preserve"> Vi phạm các quy định về khai thác và bảo vệ rừng 06 vụ; cố ý làm trái quy định của Nhà nước về quản lý kinh tế 01 vụ.</w:t>
      </w:r>
    </w:p>
  </w:footnote>
  <w:footnote w:id="7">
    <w:p w:rsidR="00E84642" w:rsidRDefault="00E84642" w:rsidP="00E84642">
      <w:pPr>
        <w:ind w:firstLine="567"/>
        <w:jc w:val="both"/>
        <w:rPr>
          <w:rFonts w:cstheme="minorBidi"/>
        </w:rPr>
      </w:pPr>
      <w:r w:rsidRPr="00B14177">
        <w:rPr>
          <w:color w:val="auto"/>
          <w:sz w:val="20"/>
          <w:szCs w:val="20"/>
          <w:vertAlign w:val="superscript"/>
        </w:rPr>
        <w:t>(</w:t>
      </w:r>
      <w:r w:rsidRPr="00B14177">
        <w:rPr>
          <w:rStyle w:val="FootnoteReference"/>
          <w:rFonts w:eastAsiaTheme="majorEastAsia"/>
          <w:color w:val="auto"/>
          <w:sz w:val="20"/>
          <w:szCs w:val="20"/>
        </w:rPr>
        <w:footnoteRef/>
      </w:r>
      <w:r w:rsidRPr="00B14177">
        <w:rPr>
          <w:color w:val="auto"/>
          <w:sz w:val="20"/>
          <w:szCs w:val="20"/>
          <w:vertAlign w:val="superscript"/>
        </w:rPr>
        <w:t>)</w:t>
      </w:r>
      <w:r w:rsidRPr="00B14177">
        <w:rPr>
          <w:color w:val="auto"/>
          <w:sz w:val="20"/>
          <w:szCs w:val="20"/>
        </w:rPr>
        <w:t xml:space="preserve"> Trong đó, nổi lên là: Trộm cắp tài sản 10 vụ (tăng 01 vụ); cố ý làm hư hỏng tài sản 02 vụ (tăng 01 vụ); hiếp dâm trẻ em 03 vụ (tăng 02 vụ); chống người thi hành công vụ 02 vụ (tăng 01 vụ); cưỡng đoạt tài sàn 02 vụ (tăng 02 vụ); lừa đảo chiếm đoạt tài sản 03 vụ (tăng 01 vụ); ma túy 01 vụ (tăng 01 vụ). Tuy nhiên, vẫn còn một số tội phạm được kiềm chế, giảm về số vụ và thiệt hại như: vô ý gây thiệt hại nghiêm trọng đến TS: 00 vụ (giảm 01 vụ), đánh bạc 01 vụ (giảm 03 vụ); cố ý</w:t>
      </w:r>
      <w:r w:rsidRPr="00B14177">
        <w:rPr>
          <w:color w:val="auto"/>
          <w:szCs w:val="28"/>
        </w:rPr>
        <w:t xml:space="preserve"> </w:t>
      </w:r>
      <w:r w:rsidRPr="00B14177">
        <w:rPr>
          <w:color w:val="auto"/>
          <w:sz w:val="20"/>
          <w:szCs w:val="20"/>
        </w:rPr>
        <w:t>gây thương tích 13 vụ (giảm 01 vụ), Giao thông: 03 vụ (giảm 03 vụ)</w:t>
      </w:r>
      <w:r>
        <w:rPr>
          <w:color w:val="auto"/>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8464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229"/>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0ED2"/>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4642"/>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42"/>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E84642"/>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E84642"/>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E84642"/>
    <w:rPr>
      <w:vertAlign w:val="superscript"/>
    </w:rPr>
  </w:style>
  <w:style w:type="paragraph" w:styleId="Header">
    <w:name w:val="header"/>
    <w:basedOn w:val="Normal"/>
    <w:link w:val="HeaderChar"/>
    <w:uiPriority w:val="99"/>
    <w:semiHidden/>
    <w:unhideWhenUsed/>
    <w:rsid w:val="000B5229"/>
    <w:pPr>
      <w:tabs>
        <w:tab w:val="center" w:pos="4680"/>
        <w:tab w:val="right" w:pos="9360"/>
      </w:tabs>
    </w:pPr>
  </w:style>
  <w:style w:type="character" w:customStyle="1" w:styleId="HeaderChar">
    <w:name w:val="Header Char"/>
    <w:basedOn w:val="DefaultParagraphFont"/>
    <w:link w:val="Header"/>
    <w:uiPriority w:val="99"/>
    <w:semiHidden/>
    <w:rsid w:val="000B5229"/>
    <w:rPr>
      <w:rFonts w:eastAsia="Times New Roman" w:cs="Times New Roman"/>
      <w:color w:val="0000FF"/>
      <w:szCs w:val="24"/>
    </w:rPr>
  </w:style>
  <w:style w:type="paragraph" w:styleId="Footer">
    <w:name w:val="footer"/>
    <w:basedOn w:val="Normal"/>
    <w:link w:val="FooterChar"/>
    <w:uiPriority w:val="99"/>
    <w:unhideWhenUsed/>
    <w:rsid w:val="000B5229"/>
    <w:pPr>
      <w:tabs>
        <w:tab w:val="center" w:pos="4680"/>
        <w:tab w:val="right" w:pos="9360"/>
      </w:tabs>
    </w:pPr>
  </w:style>
  <w:style w:type="character" w:customStyle="1" w:styleId="FooterChar">
    <w:name w:val="Footer Char"/>
    <w:basedOn w:val="DefaultParagraphFont"/>
    <w:link w:val="Footer"/>
    <w:uiPriority w:val="99"/>
    <w:rsid w:val="000B5229"/>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2723</Words>
  <Characters>15523</Characters>
  <Application>Microsoft Office Word</Application>
  <DocSecurity>0</DocSecurity>
  <Lines>129</Lines>
  <Paragraphs>36</Paragraphs>
  <ScaleCrop>false</ScaleCrop>
  <Company>Sky123.Org</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2018-05-27T10:42:00Z</dcterms:created>
  <dcterms:modified xsi:type="dcterms:W3CDTF">2018-05-27T10:43:00Z</dcterms:modified>
</cp:coreProperties>
</file>