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066"/>
      </w:tblGrid>
      <w:tr w:rsidR="00B66B1C" w:rsidRPr="000D2B40" w:rsidTr="00A0367B">
        <w:trPr>
          <w:trHeight w:hRule="exact" w:val="951"/>
        </w:trPr>
        <w:tc>
          <w:tcPr>
            <w:tcW w:w="3544" w:type="dxa"/>
            <w:tcBorders>
              <w:top w:val="nil"/>
              <w:left w:val="nil"/>
              <w:bottom w:val="nil"/>
              <w:right w:val="nil"/>
            </w:tcBorders>
            <w:shd w:val="clear" w:color="auto" w:fill="auto"/>
          </w:tcPr>
          <w:p w:rsidR="00B66B1C" w:rsidRPr="000D2B40" w:rsidRDefault="00B66B1C" w:rsidP="00A0367B">
            <w:pPr>
              <w:spacing w:before="60"/>
              <w:jc w:val="center"/>
              <w:rPr>
                <w:b/>
                <w:color w:val="auto"/>
                <w:sz w:val="26"/>
              </w:rPr>
            </w:pPr>
            <w:r w:rsidRPr="000D2B40">
              <w:rPr>
                <w:b/>
                <w:color w:val="auto"/>
                <w:sz w:val="26"/>
              </w:rPr>
              <w:t>HỘI ĐỒNG NHÂN DÂN</w:t>
            </w:r>
          </w:p>
          <w:p w:rsidR="00B66B1C" w:rsidRPr="000D2B40" w:rsidRDefault="00B66B1C" w:rsidP="00A0367B">
            <w:pPr>
              <w:jc w:val="center"/>
              <w:rPr>
                <w:b/>
                <w:color w:val="auto"/>
                <w:sz w:val="26"/>
              </w:rPr>
            </w:pPr>
            <w:r w:rsidRPr="00354FF8">
              <w:rPr>
                <w:color w:val="auto"/>
                <w:sz w:val="26"/>
              </w:rPr>
              <w:pict>
                <v:line id="_x0000_s1026" style="position:absolute;left:0;text-align:left;z-index:251660288;mso-position-horizontal:center;mso-position-horizontal-relative:margin" from="0,17.25pt" to="46.9pt,17.25pt" strokecolor="#002060">
                  <w10:wrap anchorx="margin"/>
                </v:line>
              </w:pict>
            </w:r>
            <w:r w:rsidRPr="000D2B40">
              <w:rPr>
                <w:b/>
                <w:color w:val="auto"/>
                <w:sz w:val="26"/>
              </w:rPr>
              <w:t>HUYỆN SA THẦY</w:t>
            </w:r>
          </w:p>
        </w:tc>
        <w:tc>
          <w:tcPr>
            <w:tcW w:w="6066" w:type="dxa"/>
            <w:tcBorders>
              <w:top w:val="nil"/>
              <w:left w:val="nil"/>
              <w:bottom w:val="nil"/>
              <w:right w:val="nil"/>
            </w:tcBorders>
            <w:shd w:val="clear" w:color="auto" w:fill="auto"/>
          </w:tcPr>
          <w:p w:rsidR="00B66B1C" w:rsidRPr="000D2B40" w:rsidRDefault="00B66B1C" w:rsidP="00A0367B">
            <w:pPr>
              <w:spacing w:before="60"/>
              <w:jc w:val="center"/>
              <w:rPr>
                <w:b/>
                <w:color w:val="auto"/>
                <w:sz w:val="26"/>
              </w:rPr>
            </w:pPr>
            <w:r w:rsidRPr="000D2B40">
              <w:rPr>
                <w:b/>
                <w:color w:val="auto"/>
                <w:sz w:val="26"/>
              </w:rPr>
              <w:t>CỘNG HÒA XÃ HỘI CHỦ NGHĨA VIỆT NAM</w:t>
            </w:r>
          </w:p>
          <w:p w:rsidR="00B66B1C" w:rsidRPr="000D2B40" w:rsidRDefault="00B66B1C" w:rsidP="00A0367B">
            <w:pPr>
              <w:jc w:val="center"/>
              <w:rPr>
                <w:b/>
                <w:color w:val="auto"/>
                <w:sz w:val="26"/>
              </w:rPr>
            </w:pPr>
            <w:r w:rsidRPr="00354FF8">
              <w:rPr>
                <w:b/>
                <w:color w:val="auto"/>
              </w:rPr>
              <w:pict>
                <v:line id="_x0000_s1027" style="position:absolute;left:0;text-align:left;z-index:251661312;mso-position-horizontal:center;mso-position-horizontal-relative:margin" from="0,16.85pt" to="170.1pt,16.85pt" strokecolor="#002060">
                  <w10:wrap anchorx="margin"/>
                </v:line>
              </w:pict>
            </w:r>
            <w:r w:rsidRPr="000D2B40">
              <w:rPr>
                <w:b/>
                <w:color w:val="auto"/>
              </w:rPr>
              <w:t>Độc lập - Tự do - Hạnh phúc</w:t>
            </w:r>
          </w:p>
        </w:tc>
      </w:tr>
      <w:tr w:rsidR="00B66B1C" w:rsidRPr="000D2B40" w:rsidTr="00A03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3544" w:type="dxa"/>
            <w:shd w:val="clear" w:color="auto" w:fill="auto"/>
          </w:tcPr>
          <w:p w:rsidR="00B66B1C" w:rsidRPr="000D2B40" w:rsidRDefault="00B66B1C" w:rsidP="00A0367B">
            <w:pPr>
              <w:jc w:val="center"/>
              <w:rPr>
                <w:i/>
                <w:color w:val="auto"/>
              </w:rPr>
            </w:pPr>
            <w:r w:rsidRPr="000D2B40">
              <w:rPr>
                <w:color w:val="auto"/>
              </w:rPr>
              <w:t>Số: 50 /BC-</w:t>
            </w:r>
            <w:r>
              <w:rPr>
                <w:color w:val="auto"/>
              </w:rPr>
              <w:t>BKTXH</w:t>
            </w:r>
          </w:p>
        </w:tc>
        <w:tc>
          <w:tcPr>
            <w:tcW w:w="6066" w:type="dxa"/>
            <w:shd w:val="clear" w:color="auto" w:fill="auto"/>
          </w:tcPr>
          <w:p w:rsidR="00B66B1C" w:rsidRPr="000D2B40" w:rsidRDefault="00B66B1C" w:rsidP="00A0367B">
            <w:pPr>
              <w:jc w:val="center"/>
              <w:rPr>
                <w:i/>
                <w:color w:val="auto"/>
              </w:rPr>
            </w:pPr>
            <w:r w:rsidRPr="000D2B40">
              <w:rPr>
                <w:i/>
                <w:color w:val="auto"/>
              </w:rPr>
              <w:t>Sa Thầy, ngày 25 tháng 7 năm 2017</w:t>
            </w:r>
          </w:p>
        </w:tc>
      </w:tr>
    </w:tbl>
    <w:p w:rsidR="00B66B1C" w:rsidRPr="000D2B40" w:rsidRDefault="00B66B1C" w:rsidP="00B66B1C">
      <w:pPr>
        <w:jc w:val="center"/>
        <w:rPr>
          <w:b/>
          <w:color w:val="auto"/>
        </w:rPr>
      </w:pPr>
    </w:p>
    <w:p w:rsidR="00B66B1C" w:rsidRPr="000D2B40" w:rsidRDefault="00B66B1C" w:rsidP="00B66B1C">
      <w:pPr>
        <w:jc w:val="center"/>
        <w:rPr>
          <w:b/>
          <w:color w:val="auto"/>
        </w:rPr>
      </w:pPr>
      <w:r w:rsidRPr="000D2B40">
        <w:rPr>
          <w:b/>
          <w:color w:val="auto"/>
        </w:rPr>
        <w:t>BÁO CÁO THẨM TRA</w:t>
      </w:r>
    </w:p>
    <w:p w:rsidR="00B66B1C" w:rsidRPr="000D2B40" w:rsidRDefault="00B66B1C" w:rsidP="00B66B1C">
      <w:pPr>
        <w:jc w:val="center"/>
        <w:rPr>
          <w:b/>
          <w:color w:val="auto"/>
        </w:rPr>
      </w:pPr>
      <w:r w:rsidRPr="000D2B40">
        <w:rPr>
          <w:b/>
          <w:color w:val="auto"/>
        </w:rPr>
        <w:t>Tình hình thực hiện thực hiện dự toán thu, chi ngân sách nhà nước</w:t>
      </w:r>
    </w:p>
    <w:p w:rsidR="00B66B1C" w:rsidRPr="000D2B40" w:rsidRDefault="00B66B1C" w:rsidP="00B66B1C">
      <w:pPr>
        <w:jc w:val="center"/>
        <w:rPr>
          <w:b/>
          <w:color w:val="auto"/>
        </w:rPr>
      </w:pPr>
      <w:r w:rsidRPr="000D2B40">
        <w:rPr>
          <w:b/>
          <w:color w:val="auto"/>
        </w:rPr>
        <w:t xml:space="preserve"> 6 tháng đầu năm 2017</w:t>
      </w:r>
    </w:p>
    <w:p w:rsidR="00B66B1C" w:rsidRPr="000D2B40" w:rsidRDefault="00B66B1C" w:rsidP="00B66B1C">
      <w:pPr>
        <w:jc w:val="cente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1.95pt;margin-top:1.6pt;width:32.1pt;height:0;z-index:251662336" o:connectortype="straight"/>
        </w:pict>
      </w:r>
    </w:p>
    <w:p w:rsidR="00B66B1C" w:rsidRPr="000D2B40" w:rsidRDefault="00B66B1C" w:rsidP="00B66B1C">
      <w:pPr>
        <w:spacing w:before="120" w:after="120"/>
        <w:ind w:firstLine="709"/>
        <w:jc w:val="both"/>
        <w:rPr>
          <w:color w:val="auto"/>
          <w:szCs w:val="28"/>
        </w:rPr>
      </w:pPr>
      <w:r w:rsidRPr="000D2B40">
        <w:rPr>
          <w:color w:val="auto"/>
          <w:szCs w:val="28"/>
        </w:rPr>
        <w:t>Căn cứ Luật Tổ chức chính quyền địa phương năm 2015; Luật Hoạt động giám sát của Quốc hội và Hội đồng nhân dân năm 2015,</w:t>
      </w:r>
    </w:p>
    <w:p w:rsidR="00B66B1C" w:rsidRPr="000D2B40" w:rsidRDefault="00B66B1C" w:rsidP="00B66B1C">
      <w:pPr>
        <w:spacing w:before="120" w:after="120"/>
        <w:ind w:firstLine="709"/>
        <w:jc w:val="both"/>
        <w:rPr>
          <w:color w:val="auto"/>
          <w:szCs w:val="28"/>
        </w:rPr>
      </w:pPr>
      <w:r w:rsidRPr="000D2B40">
        <w:rPr>
          <w:color w:val="auto"/>
          <w:szCs w:val="28"/>
        </w:rPr>
        <w:t xml:space="preserve">Thực hiện sự phân công của Thường trực </w:t>
      </w:r>
      <w:r w:rsidRPr="000D2B40">
        <w:rPr>
          <w:color w:val="auto"/>
        </w:rPr>
        <w:t xml:space="preserve">Hội đồng nhân </w:t>
      </w:r>
      <w:r w:rsidRPr="000D2B40">
        <w:rPr>
          <w:color w:val="auto"/>
          <w:szCs w:val="28"/>
        </w:rPr>
        <w:t xml:space="preserve">huyện tại </w:t>
      </w:r>
      <w:r w:rsidRPr="000D2B40">
        <w:rPr>
          <w:color w:val="auto"/>
        </w:rPr>
        <w:t>Công văn số 29/HĐND-TH ngày 06/7/2017</w:t>
      </w:r>
      <w:r w:rsidRPr="000D2B40">
        <w:rPr>
          <w:color w:val="auto"/>
          <w:szCs w:val="28"/>
        </w:rPr>
        <w:t xml:space="preserve">, trên cơ sở </w:t>
      </w:r>
      <w:r w:rsidRPr="000D2B40">
        <w:rPr>
          <w:color w:val="auto"/>
        </w:rPr>
        <w:t>Báo cáo số 296/BC-UBND ngày 17/7/2017 của UBND huyện về tình hình thực hiện dự toán thu, chi ngân sách nhà nước 6 tháng đầu năm 2017</w:t>
      </w:r>
      <w:r w:rsidRPr="000D2B40">
        <w:rPr>
          <w:color w:val="auto"/>
          <w:szCs w:val="28"/>
        </w:rPr>
        <w:t xml:space="preserve">. Ban Kinh tế - Xã hội đã tổ chức thẩm tra về nội dung trên, tham dự cuộc họp có lãnh đạo các Ban </w:t>
      </w:r>
      <w:r w:rsidRPr="000D2B40">
        <w:rPr>
          <w:color w:val="auto"/>
        </w:rPr>
        <w:t xml:space="preserve">Hội đồng nhân </w:t>
      </w:r>
      <w:r w:rsidRPr="000D2B40">
        <w:rPr>
          <w:color w:val="auto"/>
          <w:szCs w:val="28"/>
        </w:rPr>
        <w:t xml:space="preserve">huyện; các cơ quan có liên quan. </w:t>
      </w:r>
      <w:r w:rsidRPr="000D2B40">
        <w:rPr>
          <w:color w:val="auto"/>
        </w:rPr>
        <w:t>Ban Kinh tế - Xã hội báo cáo Hội đồng nhân dân huyện một số nội dung như:</w:t>
      </w:r>
    </w:p>
    <w:p w:rsidR="00B66B1C" w:rsidRPr="000D2B40" w:rsidRDefault="00B66B1C" w:rsidP="00B66B1C">
      <w:pPr>
        <w:spacing w:before="120" w:after="120"/>
        <w:ind w:firstLine="709"/>
        <w:jc w:val="both"/>
        <w:rPr>
          <w:b/>
          <w:color w:val="auto"/>
          <w:szCs w:val="28"/>
        </w:rPr>
      </w:pPr>
      <w:r w:rsidRPr="000D2B40">
        <w:rPr>
          <w:b/>
          <w:color w:val="auto"/>
          <w:szCs w:val="28"/>
        </w:rPr>
        <w:t>1.</w:t>
      </w:r>
      <w:r w:rsidRPr="000D2B40">
        <w:rPr>
          <w:color w:val="auto"/>
          <w:szCs w:val="28"/>
        </w:rPr>
        <w:t xml:space="preserve"> </w:t>
      </w:r>
      <w:r w:rsidRPr="000D2B40">
        <w:rPr>
          <w:b/>
          <w:color w:val="auto"/>
          <w:szCs w:val="28"/>
        </w:rPr>
        <w:t>Đánh giá tình hình thực hiện ngân sách nhà nước 6 tháng đầu năm 2017</w:t>
      </w:r>
    </w:p>
    <w:p w:rsidR="00B66B1C" w:rsidRPr="000D2B40" w:rsidRDefault="00B66B1C" w:rsidP="00B66B1C">
      <w:pPr>
        <w:spacing w:before="120" w:after="120"/>
        <w:ind w:firstLine="709"/>
        <w:jc w:val="both"/>
        <w:rPr>
          <w:color w:val="auto"/>
          <w:szCs w:val="28"/>
        </w:rPr>
      </w:pPr>
      <w:r w:rsidRPr="000D2B40">
        <w:rPr>
          <w:b/>
          <w:color w:val="auto"/>
          <w:szCs w:val="28"/>
        </w:rPr>
        <w:t>1.1. Về tình hình thu ngân sách Nhà nước (NSNN)</w:t>
      </w:r>
    </w:p>
    <w:p w:rsidR="00B66B1C" w:rsidRPr="000D2B40" w:rsidRDefault="00B66B1C" w:rsidP="00B66B1C">
      <w:pPr>
        <w:spacing w:before="120" w:after="120"/>
        <w:ind w:firstLine="709"/>
        <w:jc w:val="both"/>
        <w:outlineLvl w:val="0"/>
        <w:rPr>
          <w:i/>
          <w:color w:val="auto"/>
          <w:szCs w:val="28"/>
        </w:rPr>
      </w:pPr>
      <w:r w:rsidRPr="000D2B40">
        <w:rPr>
          <w:color w:val="auto"/>
          <w:szCs w:val="28"/>
        </w:rPr>
        <w:t>Dự toán thu NSNN năm 2017 HĐND huyện 60.487 triệu đồng</w:t>
      </w:r>
      <w:r w:rsidRPr="000D2B40">
        <w:rPr>
          <w:color w:val="auto"/>
          <w:szCs w:val="28"/>
          <w:vertAlign w:val="superscript"/>
          <w:lang w:val="am-ET"/>
        </w:rPr>
        <w:t>(</w:t>
      </w:r>
      <w:r w:rsidRPr="000D2B40">
        <w:rPr>
          <w:rStyle w:val="FootnoteReference"/>
          <w:color w:val="auto"/>
          <w:szCs w:val="28"/>
          <w:lang w:val="am-ET"/>
        </w:rPr>
        <w:footnoteReference w:id="2"/>
      </w:r>
      <w:r w:rsidRPr="000D2B40">
        <w:rPr>
          <w:color w:val="auto"/>
          <w:szCs w:val="28"/>
          <w:vertAlign w:val="superscript"/>
          <w:lang w:val="am-ET"/>
        </w:rPr>
        <w:t>)</w:t>
      </w:r>
      <w:r w:rsidRPr="000D2B40">
        <w:rPr>
          <w:color w:val="auto"/>
          <w:szCs w:val="28"/>
        </w:rPr>
        <w:t xml:space="preserve">, </w:t>
      </w:r>
      <w:r w:rsidRPr="000D2B40">
        <w:rPr>
          <w:color w:val="auto"/>
          <w:szCs w:val="28"/>
          <w:lang w:val="am-ET"/>
        </w:rPr>
        <w:t xml:space="preserve">thực hiện 6 tháng </w:t>
      </w:r>
      <w:r w:rsidRPr="000D2B40">
        <w:rPr>
          <w:color w:val="auto"/>
          <w:szCs w:val="28"/>
        </w:rPr>
        <w:t xml:space="preserve">đầu năm </w:t>
      </w:r>
      <w:r w:rsidRPr="000D2B40">
        <w:rPr>
          <w:color w:val="auto"/>
          <w:szCs w:val="28"/>
          <w:lang w:val="am-ET"/>
        </w:rPr>
        <w:t xml:space="preserve">thu </w:t>
      </w:r>
      <w:r w:rsidRPr="000D2B40">
        <w:rPr>
          <w:color w:val="auto"/>
          <w:szCs w:val="28"/>
          <w:lang w:val="nl-NL"/>
        </w:rPr>
        <w:t>30.302</w:t>
      </w:r>
      <w:r w:rsidRPr="000D2B40">
        <w:rPr>
          <w:color w:val="auto"/>
          <w:szCs w:val="28"/>
          <w:lang w:val="am-ET"/>
        </w:rPr>
        <w:t xml:space="preserve"> triệu đồng</w:t>
      </w:r>
      <w:r w:rsidRPr="000D2B40">
        <w:rPr>
          <w:color w:val="auto"/>
          <w:szCs w:val="28"/>
        </w:rPr>
        <w:t>,</w:t>
      </w:r>
      <w:r w:rsidRPr="000D2B40">
        <w:rPr>
          <w:color w:val="auto"/>
          <w:szCs w:val="28"/>
          <w:lang w:val="am-ET"/>
        </w:rPr>
        <w:t xml:space="preserve"> đạt </w:t>
      </w:r>
      <w:r w:rsidRPr="000D2B40">
        <w:rPr>
          <w:color w:val="auto"/>
          <w:szCs w:val="28"/>
          <w:lang w:val="nl-NL"/>
        </w:rPr>
        <w:t>50</w:t>
      </w:r>
      <w:r w:rsidRPr="000D2B40">
        <w:rPr>
          <w:color w:val="auto"/>
          <w:szCs w:val="28"/>
          <w:lang w:val="am-ET"/>
        </w:rPr>
        <w:t xml:space="preserve">% dự toán và bằng </w:t>
      </w:r>
      <w:r w:rsidRPr="000D2B40">
        <w:rPr>
          <w:color w:val="auto"/>
          <w:szCs w:val="28"/>
          <w:lang w:val="nl-NL"/>
        </w:rPr>
        <w:t>98,6</w:t>
      </w:r>
      <w:r w:rsidRPr="000D2B40">
        <w:rPr>
          <w:color w:val="auto"/>
          <w:szCs w:val="28"/>
          <w:lang w:val="am-ET"/>
        </w:rPr>
        <w:t>% so với cùng kỳ</w:t>
      </w:r>
      <w:r w:rsidRPr="000D2B40">
        <w:rPr>
          <w:color w:val="auto"/>
          <w:szCs w:val="28"/>
          <w:vertAlign w:val="superscript"/>
        </w:rPr>
        <w:t>(</w:t>
      </w:r>
      <w:r w:rsidRPr="000D2B40">
        <w:rPr>
          <w:rStyle w:val="FootnoteReference"/>
          <w:color w:val="auto"/>
          <w:szCs w:val="28"/>
          <w:lang w:val="am-ET"/>
        </w:rPr>
        <w:footnoteReference w:id="3"/>
      </w:r>
      <w:r w:rsidRPr="000D2B40">
        <w:rPr>
          <w:color w:val="auto"/>
          <w:szCs w:val="28"/>
          <w:vertAlign w:val="superscript"/>
        </w:rPr>
        <w:t>)</w:t>
      </w:r>
      <w:r w:rsidRPr="000D2B40">
        <w:rPr>
          <w:color w:val="auto"/>
          <w:szCs w:val="28"/>
          <w:lang w:val="am-ET"/>
        </w:rPr>
        <w:t>.</w:t>
      </w:r>
      <w:r w:rsidRPr="000D2B40">
        <w:rPr>
          <w:color w:val="auto"/>
          <w:szCs w:val="28"/>
        </w:rPr>
        <w:t xml:space="preserve"> Một số khoản thu chiếm tỷ trọng lớn ước thực hiện bằng hoặc vượt so với cùng kỳ năm 2016 </w:t>
      </w:r>
      <w:r w:rsidRPr="000D2B40">
        <w:rPr>
          <w:i/>
          <w:color w:val="auto"/>
          <w:szCs w:val="28"/>
        </w:rPr>
        <w:t>(thu từ doanh nghiệp Nhà  nước Trung ương; thu thuế thu nhập cá nhân; thu từ lệ phí trước bạ, các loại phí, lệ phí...)</w:t>
      </w:r>
      <w:r w:rsidRPr="000D2B40">
        <w:rPr>
          <w:color w:val="auto"/>
          <w:szCs w:val="28"/>
        </w:rPr>
        <w:t>.</w:t>
      </w:r>
      <w:r w:rsidRPr="000D2B40">
        <w:rPr>
          <w:i/>
          <w:color w:val="auto"/>
          <w:szCs w:val="28"/>
        </w:rPr>
        <w:t xml:space="preserve"> </w:t>
      </w:r>
    </w:p>
    <w:p w:rsidR="00B66B1C" w:rsidRPr="000D2B40" w:rsidRDefault="00B66B1C" w:rsidP="00B66B1C">
      <w:pPr>
        <w:spacing w:before="120" w:after="120"/>
        <w:ind w:firstLine="709"/>
        <w:jc w:val="both"/>
        <w:outlineLvl w:val="0"/>
        <w:rPr>
          <w:color w:val="auto"/>
          <w:szCs w:val="28"/>
        </w:rPr>
      </w:pPr>
      <w:r w:rsidRPr="000D2B40">
        <w:rPr>
          <w:color w:val="auto"/>
          <w:szCs w:val="28"/>
        </w:rPr>
        <w:t>Tổng thu ngân sách huyện HĐND huyện giao đầu năm là 264.083 triệu đồng</w:t>
      </w:r>
      <w:r w:rsidRPr="000D2B40">
        <w:rPr>
          <w:color w:val="auto"/>
          <w:szCs w:val="28"/>
          <w:vertAlign w:val="superscript"/>
        </w:rPr>
        <w:t>(</w:t>
      </w:r>
      <w:r w:rsidRPr="000D2B40">
        <w:rPr>
          <w:rStyle w:val="FootnoteReference"/>
          <w:color w:val="auto"/>
          <w:szCs w:val="28"/>
        </w:rPr>
        <w:footnoteReference w:id="4"/>
      </w:r>
      <w:r w:rsidRPr="000D2B40">
        <w:rPr>
          <w:color w:val="auto"/>
          <w:szCs w:val="28"/>
          <w:vertAlign w:val="superscript"/>
        </w:rPr>
        <w:t>)</w:t>
      </w:r>
      <w:r w:rsidRPr="000D2B40">
        <w:rPr>
          <w:color w:val="auto"/>
          <w:szCs w:val="28"/>
        </w:rPr>
        <w:t>. Thực hiện 6 tháng 147.982 triệu đồng đạt 56% dự toán HĐND huyện giao.</w:t>
      </w:r>
    </w:p>
    <w:p w:rsidR="00B66B1C" w:rsidRPr="000D2B40" w:rsidRDefault="00B66B1C" w:rsidP="00B66B1C">
      <w:pPr>
        <w:spacing w:before="120" w:after="120"/>
        <w:ind w:firstLine="709"/>
        <w:jc w:val="both"/>
        <w:rPr>
          <w:color w:val="auto"/>
          <w:szCs w:val="28"/>
        </w:rPr>
      </w:pPr>
      <w:r w:rsidRPr="000D2B40">
        <w:rPr>
          <w:color w:val="auto"/>
          <w:szCs w:val="28"/>
        </w:rPr>
        <w:t xml:space="preserve">Về tình hình thu hồi nợ đọng thuế: Tổng số nợ đọng thuế lũy kế đến ngày 26/6/2017 là </w:t>
      </w:r>
      <w:r w:rsidRPr="000D2B40">
        <w:rPr>
          <w:color w:val="auto"/>
          <w:lang w:val="nl-NL"/>
        </w:rPr>
        <w:t xml:space="preserve">3.285 triệu đồng </w:t>
      </w:r>
      <w:r w:rsidRPr="000D2B40">
        <w:rPr>
          <w:i/>
          <w:color w:val="auto"/>
          <w:lang w:val="nl-NL"/>
        </w:rPr>
        <w:t>(trong đó: Nợ khó thu: 2.186 triệu đồng. Nợ có khả năng thu: 1.099 triệu đồng</w:t>
      </w:r>
      <w:r w:rsidRPr="000D2B40">
        <w:rPr>
          <w:color w:val="auto"/>
          <w:lang w:val="nl-NL"/>
        </w:rPr>
        <w:t>).</w:t>
      </w:r>
      <w:r w:rsidRPr="000D2B40">
        <w:rPr>
          <w:color w:val="auto"/>
          <w:szCs w:val="28"/>
        </w:rPr>
        <w:t xml:space="preserve"> </w:t>
      </w:r>
      <w:r w:rsidRPr="000D2B40">
        <w:rPr>
          <w:color w:val="auto"/>
          <w:lang w:val="nl-NL"/>
        </w:rPr>
        <w:t>UBND huyện đã chỉ đạo ngành thuế phối hợp với các đơn vị liên quan, UBND các xã, thị trấn thường xuyên thực hiện tốt các biện pháp quản lý thu nợ, phân loại nợ đảm bảo chính xác. Việc đôn đốc thu nợ đã được triển khai đồng bộ theo đúng quy định như cưỡng chế qua tài khoản Ngân hàng, công khai danh sách các đơn vị, cá nhân còn nợ thuế trên thông tin đài truyền thanh, truyền hình địa phương và thông báo đến UBND các xã, thị trấn</w:t>
      </w:r>
      <w:r w:rsidRPr="000D2B40">
        <w:rPr>
          <w:color w:val="auto"/>
          <w:spacing w:val="-2"/>
          <w:szCs w:val="28"/>
        </w:rPr>
        <w:t>. Tuy nhiên, qua trình cưỡng chế gặp nhiều khó khăn do nhiều doanh nghiệp làm ăn thua lỗ hoặc đã ngừng kinh doanh và đi khỏi địa bàn.</w:t>
      </w:r>
    </w:p>
    <w:p w:rsidR="00B66B1C" w:rsidRPr="000D2B40" w:rsidRDefault="00B66B1C" w:rsidP="00B66B1C">
      <w:pPr>
        <w:spacing w:before="120" w:after="120"/>
        <w:ind w:firstLine="709"/>
        <w:jc w:val="both"/>
        <w:rPr>
          <w:color w:val="auto"/>
          <w:spacing w:val="-4"/>
          <w:szCs w:val="28"/>
        </w:rPr>
      </w:pPr>
      <w:r w:rsidRPr="000D2B40">
        <w:rPr>
          <w:b/>
          <w:color w:val="auto"/>
          <w:spacing w:val="-4"/>
          <w:szCs w:val="28"/>
        </w:rPr>
        <w:lastRenderedPageBreak/>
        <w:t>1.2. Về tình hình chi ngân sách địa phương (NSĐP)</w:t>
      </w:r>
    </w:p>
    <w:p w:rsidR="00B66B1C" w:rsidRPr="000D2B40" w:rsidRDefault="00B66B1C" w:rsidP="00B66B1C">
      <w:pPr>
        <w:spacing w:before="120" w:after="120"/>
        <w:ind w:firstLine="709"/>
        <w:jc w:val="both"/>
        <w:rPr>
          <w:color w:val="auto"/>
          <w:spacing w:val="-4"/>
          <w:szCs w:val="28"/>
        </w:rPr>
      </w:pPr>
      <w:r w:rsidRPr="000D2B40">
        <w:rPr>
          <w:color w:val="auto"/>
          <w:spacing w:val="-4"/>
          <w:szCs w:val="28"/>
        </w:rPr>
        <w:t xml:space="preserve">Dự toán năm 2017, HĐND huyện giao 264.083 triệu đồng, tăng 4.644 triệu đồng so với dự toán tỉnh giao. Dự toán có điều chỉnh bổ sung 6 tháng đầu năm là 356.923 triệu đồng </w:t>
      </w:r>
      <w:r w:rsidRPr="000D2B40">
        <w:rPr>
          <w:i/>
          <w:color w:val="auto"/>
          <w:spacing w:val="-4"/>
          <w:szCs w:val="28"/>
        </w:rPr>
        <w:t>(bổ sung chuyển nguồn và các chương trình mục tiêu phát sinh trong 6 tháng đầu năm)</w:t>
      </w:r>
      <w:r w:rsidRPr="000D2B40">
        <w:rPr>
          <w:color w:val="auto"/>
          <w:spacing w:val="-4"/>
          <w:szCs w:val="28"/>
        </w:rPr>
        <w:t>.</w:t>
      </w:r>
    </w:p>
    <w:p w:rsidR="00B66B1C" w:rsidRPr="000D2B40" w:rsidRDefault="00B66B1C" w:rsidP="00B66B1C">
      <w:pPr>
        <w:spacing w:before="120" w:after="120"/>
        <w:ind w:firstLine="709"/>
        <w:jc w:val="both"/>
        <w:rPr>
          <w:color w:val="auto"/>
          <w:szCs w:val="28"/>
        </w:rPr>
      </w:pPr>
      <w:r w:rsidRPr="000D2B40">
        <w:rPr>
          <w:color w:val="auto"/>
          <w:spacing w:val="-4"/>
          <w:szCs w:val="28"/>
        </w:rPr>
        <w:t xml:space="preserve">Tính đến thời điểm 30/6/2017, chi ngân sách thực hiện: 121.823 triệu đồng, đạt 46%  dự toán và 34% so với nhiệm vụ chi. Trong đó, </w:t>
      </w:r>
      <w:r w:rsidRPr="000D2B40">
        <w:rPr>
          <w:color w:val="auto"/>
          <w:szCs w:val="28"/>
        </w:rPr>
        <w:t xml:space="preserve">chi đầu tư phát triển 14.563 triệu đồng đạt 50% dự toán và chi thường xuyên 107.260 triệu đồng đạt 47% dự toán. </w:t>
      </w:r>
    </w:p>
    <w:p w:rsidR="00B66B1C" w:rsidRPr="000D2B40" w:rsidRDefault="00B66B1C" w:rsidP="00B66B1C">
      <w:pPr>
        <w:spacing w:before="120" w:after="120"/>
        <w:ind w:firstLine="709"/>
        <w:jc w:val="both"/>
        <w:rPr>
          <w:color w:val="auto"/>
          <w:spacing w:val="-4"/>
          <w:szCs w:val="28"/>
        </w:rPr>
      </w:pPr>
      <w:r w:rsidRPr="000D2B40">
        <w:rPr>
          <w:color w:val="auto"/>
          <w:szCs w:val="28"/>
        </w:rPr>
        <w:t xml:space="preserve">Tình hình sử dụng nguồn dự phòng ngân sách địa phương, tính đến 6/2017 đã chi 55,980 triệu đồng, tạm ứng 1.643 triệu đồng trong tổng số 4.140 triệu đồng kinh phí dự phòng được sử dụng. </w:t>
      </w:r>
    </w:p>
    <w:p w:rsidR="00B66B1C" w:rsidRPr="000D2B40" w:rsidRDefault="00B66B1C" w:rsidP="00B66B1C">
      <w:pPr>
        <w:spacing w:before="120" w:after="120"/>
        <w:ind w:firstLine="709"/>
        <w:jc w:val="both"/>
        <w:rPr>
          <w:b/>
          <w:i/>
          <w:color w:val="auto"/>
          <w:spacing w:val="-4"/>
          <w:szCs w:val="28"/>
        </w:rPr>
      </w:pPr>
      <w:r w:rsidRPr="000D2B40">
        <w:rPr>
          <w:b/>
          <w:i/>
          <w:color w:val="auto"/>
          <w:spacing w:val="-4"/>
          <w:szCs w:val="28"/>
        </w:rPr>
        <w:t>* Qua nghiên cứu báo cáo Ban Kinh tế - Xã hội nhận thấy:</w:t>
      </w:r>
    </w:p>
    <w:p w:rsidR="00B66B1C" w:rsidRPr="000D2B40" w:rsidRDefault="00B66B1C" w:rsidP="00B66B1C">
      <w:pPr>
        <w:spacing w:before="120" w:after="120"/>
        <w:ind w:firstLine="709"/>
        <w:jc w:val="both"/>
        <w:outlineLvl w:val="0"/>
        <w:rPr>
          <w:i/>
          <w:color w:val="auto"/>
          <w:szCs w:val="28"/>
          <w:lang w:val="am-ET"/>
        </w:rPr>
      </w:pPr>
      <w:r w:rsidRPr="000D2B40">
        <w:rPr>
          <w:color w:val="auto"/>
          <w:spacing w:val="-4"/>
          <w:szCs w:val="28"/>
        </w:rPr>
        <w:t xml:space="preserve">Kết quả thực hiện thu NSNN 6 tháng đầu năm 2017 cơ bản đạt dự toán Hội đồng nhân dân huyện giao và </w:t>
      </w:r>
      <w:r w:rsidRPr="000D2B40">
        <w:rPr>
          <w:color w:val="auto"/>
          <w:szCs w:val="28"/>
          <w:lang w:val="am-ET"/>
        </w:rPr>
        <w:t>cao hơn so</w:t>
      </w:r>
      <w:r w:rsidRPr="000D2B40">
        <w:rPr>
          <w:color w:val="auto"/>
          <w:szCs w:val="28"/>
        </w:rPr>
        <w:t xml:space="preserve"> với</w:t>
      </w:r>
      <w:r w:rsidRPr="000D2B40">
        <w:rPr>
          <w:color w:val="auto"/>
          <w:szCs w:val="28"/>
          <w:lang w:val="am-ET"/>
        </w:rPr>
        <w:t xml:space="preserve"> cùng kỳ năm </w:t>
      </w:r>
      <w:r w:rsidRPr="000D2B40">
        <w:rPr>
          <w:color w:val="auto"/>
          <w:szCs w:val="28"/>
        </w:rPr>
        <w:t xml:space="preserve">2016 </w:t>
      </w:r>
      <w:r w:rsidRPr="000D2B40">
        <w:rPr>
          <w:i/>
          <w:color w:val="auto"/>
          <w:szCs w:val="28"/>
        </w:rPr>
        <w:t>(06/13 khoản thu đảm bảo tiến độ thu)</w:t>
      </w:r>
      <w:r w:rsidRPr="000D2B40">
        <w:rPr>
          <w:color w:val="auto"/>
          <w:szCs w:val="28"/>
        </w:rPr>
        <w:t>. Các khoản thu đạt tiến độ thu như thu từ doanh nghiệp nhà nước trung ương, tiền sử dụng đất, thuế thu nhập cá nhân, lệ phí trước bà và một số khoản thu khác</w:t>
      </w:r>
      <w:r w:rsidRPr="000D2B40">
        <w:rPr>
          <w:color w:val="auto"/>
          <w:szCs w:val="28"/>
          <w:lang w:val="am-ET"/>
        </w:rPr>
        <w:t xml:space="preserve">. </w:t>
      </w:r>
      <w:r w:rsidRPr="000D2B40">
        <w:rPr>
          <w:color w:val="auto"/>
          <w:szCs w:val="28"/>
        </w:rPr>
        <w:t>Bên cạnh đó, vẫn còn những khoản thu đạt</w:t>
      </w:r>
      <w:r w:rsidRPr="000D2B40">
        <w:rPr>
          <w:color w:val="auto"/>
          <w:szCs w:val="28"/>
          <w:lang w:val="am-ET"/>
        </w:rPr>
        <w:t xml:space="preserve"> tỷ lệ</w:t>
      </w:r>
      <w:r w:rsidRPr="000D2B40">
        <w:rPr>
          <w:color w:val="auto"/>
          <w:szCs w:val="28"/>
        </w:rPr>
        <w:t xml:space="preserve"> thấp như thu từ doanh nghiệp nhà nước ở địa phương </w:t>
      </w:r>
      <w:r w:rsidRPr="000D2B40">
        <w:rPr>
          <w:i/>
          <w:color w:val="auto"/>
          <w:szCs w:val="28"/>
        </w:rPr>
        <w:t>(đạt 10%)</w:t>
      </w:r>
      <w:r w:rsidRPr="000D2B40">
        <w:rPr>
          <w:color w:val="auto"/>
          <w:szCs w:val="28"/>
        </w:rPr>
        <w:t xml:space="preserve">, từ thành phần kinh tế ngoài quốc doanh </w:t>
      </w:r>
      <w:r w:rsidRPr="000D2B40">
        <w:rPr>
          <w:i/>
          <w:color w:val="auto"/>
          <w:szCs w:val="28"/>
        </w:rPr>
        <w:t>(đạt 39%)</w:t>
      </w:r>
      <w:r w:rsidRPr="000D2B40">
        <w:rPr>
          <w:color w:val="auto"/>
          <w:szCs w:val="28"/>
          <w:lang w:val="am-ET"/>
        </w:rPr>
        <w:t>, các loại phí và lệ phí</w:t>
      </w:r>
      <w:r w:rsidRPr="000D2B40">
        <w:rPr>
          <w:color w:val="auto"/>
          <w:szCs w:val="28"/>
        </w:rPr>
        <w:t xml:space="preserve"> </w:t>
      </w:r>
      <w:r w:rsidRPr="000D2B40">
        <w:rPr>
          <w:i/>
          <w:color w:val="auto"/>
          <w:szCs w:val="28"/>
        </w:rPr>
        <w:t>(đạt 37%)</w:t>
      </w:r>
      <w:r w:rsidRPr="000D2B40">
        <w:rPr>
          <w:color w:val="auto"/>
          <w:szCs w:val="28"/>
          <w:lang w:val="am-ET"/>
        </w:rPr>
        <w:t xml:space="preserve">. Tình hình thu hồi nợ thuế vẫn còn gặp nhiều khó khăn, số nợ thuế khó thu vẫn chiếm hơn </w:t>
      </w:r>
      <w:r w:rsidRPr="000D2B40">
        <w:rPr>
          <w:color w:val="auto"/>
          <w:szCs w:val="28"/>
        </w:rPr>
        <w:t>66</w:t>
      </w:r>
      <w:r w:rsidRPr="000D2B40">
        <w:rPr>
          <w:color w:val="auto"/>
          <w:szCs w:val="28"/>
          <w:lang w:val="am-ET"/>
        </w:rPr>
        <w:t xml:space="preserve">% tổng số nợ thuế. </w:t>
      </w:r>
    </w:p>
    <w:p w:rsidR="00B66B1C" w:rsidRPr="000D2B40" w:rsidRDefault="00B66B1C" w:rsidP="00B66B1C">
      <w:pPr>
        <w:spacing w:before="120" w:after="120"/>
        <w:ind w:firstLine="709"/>
        <w:jc w:val="both"/>
        <w:rPr>
          <w:color w:val="auto"/>
          <w:spacing w:val="-4"/>
          <w:szCs w:val="28"/>
          <w:lang w:val="am-ET"/>
        </w:rPr>
      </w:pPr>
      <w:r w:rsidRPr="000D2B40">
        <w:rPr>
          <w:color w:val="auto"/>
          <w:spacing w:val="-4"/>
          <w:szCs w:val="28"/>
          <w:lang w:val="am-ET"/>
        </w:rPr>
        <w:t xml:space="preserve">Đối với tình hình chi NSNN trong 6 tháng đầu năm 2017, </w:t>
      </w:r>
      <w:r w:rsidRPr="000D2B40">
        <w:rPr>
          <w:color w:val="auto"/>
          <w:spacing w:val="-4"/>
          <w:szCs w:val="28"/>
        </w:rPr>
        <w:t xml:space="preserve">UBND huyện </w:t>
      </w:r>
      <w:r w:rsidRPr="000D2B40">
        <w:rPr>
          <w:color w:val="auto"/>
          <w:spacing w:val="-4"/>
          <w:szCs w:val="28"/>
          <w:lang w:val="am-ET"/>
        </w:rPr>
        <w:t xml:space="preserve">đã tích cực quan tâm, chỉ đạo các ngành, địa phương </w:t>
      </w:r>
      <w:r w:rsidRPr="000D2B40">
        <w:rPr>
          <w:bCs/>
          <w:color w:val="auto"/>
          <w:spacing w:val="-4"/>
          <w:szCs w:val="28"/>
          <w:lang w:val="am-ET"/>
        </w:rPr>
        <w:t xml:space="preserve">triển khai thực hiện bảo đảm </w:t>
      </w:r>
      <w:r w:rsidRPr="000D2B40">
        <w:rPr>
          <w:color w:val="auto"/>
          <w:spacing w:val="-4"/>
          <w:szCs w:val="28"/>
          <w:lang w:val="am-ET"/>
        </w:rPr>
        <w:t xml:space="preserve">đúng quy định; công tác xử lý nợ đọng XDCB đã được chỉ đạo bố trí trả nợ </w:t>
      </w:r>
      <w:r w:rsidRPr="000D2B40">
        <w:rPr>
          <w:color w:val="auto"/>
          <w:spacing w:val="-4"/>
          <w:szCs w:val="28"/>
        </w:rPr>
        <w:t xml:space="preserve">dứt điểm </w:t>
      </w:r>
      <w:r w:rsidRPr="000D2B40">
        <w:rPr>
          <w:color w:val="auto"/>
          <w:spacing w:val="-4"/>
          <w:szCs w:val="28"/>
          <w:lang w:val="am-ET"/>
        </w:rPr>
        <w:t>theo đúng quy định</w:t>
      </w:r>
      <w:r w:rsidRPr="000D2B40">
        <w:rPr>
          <w:color w:val="auto"/>
          <w:spacing w:val="-4"/>
          <w:szCs w:val="28"/>
        </w:rPr>
        <w:t xml:space="preserve"> với số tiền là 7.321 triệu đồng</w:t>
      </w:r>
      <w:r w:rsidRPr="000D2B40">
        <w:rPr>
          <w:color w:val="auto"/>
          <w:spacing w:val="-4"/>
          <w:szCs w:val="28"/>
          <w:lang w:val="am-ET"/>
        </w:rPr>
        <w:t xml:space="preserve">; bên cạnh đó, </w:t>
      </w:r>
      <w:r w:rsidRPr="000D2B40">
        <w:rPr>
          <w:bCs/>
          <w:color w:val="auto"/>
          <w:spacing w:val="-4"/>
          <w:szCs w:val="28"/>
          <w:lang w:val="am-ET"/>
        </w:rPr>
        <w:t xml:space="preserve">tiến độ giải ngân nguồn vốn </w:t>
      </w:r>
      <w:r w:rsidRPr="000D2B40">
        <w:rPr>
          <w:bCs/>
          <w:color w:val="auto"/>
          <w:spacing w:val="-4"/>
          <w:szCs w:val="28"/>
        </w:rPr>
        <w:t xml:space="preserve">chương trình mục tiêu quốc gia còn chậm </w:t>
      </w:r>
      <w:r w:rsidRPr="000D2B40">
        <w:rPr>
          <w:bCs/>
          <w:i/>
          <w:color w:val="auto"/>
          <w:spacing w:val="-4"/>
          <w:szCs w:val="28"/>
        </w:rPr>
        <w:t>(chương trình MTQG nông thôn mới đạt 19%, giảm nghèo bền vững đạt 44%)</w:t>
      </w:r>
      <w:r w:rsidRPr="000D2B40">
        <w:rPr>
          <w:bCs/>
          <w:color w:val="auto"/>
          <w:spacing w:val="-4"/>
          <w:szCs w:val="28"/>
          <w:lang w:val="am-ET"/>
        </w:rPr>
        <w:t xml:space="preserve">; </w:t>
      </w:r>
      <w:r w:rsidRPr="000D2B40">
        <w:rPr>
          <w:color w:val="auto"/>
          <w:szCs w:val="28"/>
          <w:lang w:val="am-ET"/>
        </w:rPr>
        <w:t>chi thường xuyên thực hiện giải ngân một số lĩnh vực còn thấp</w:t>
      </w:r>
      <w:r w:rsidRPr="000D2B40">
        <w:rPr>
          <w:bCs/>
          <w:color w:val="auto"/>
          <w:spacing w:val="-4"/>
          <w:szCs w:val="28"/>
          <w:vertAlign w:val="superscript"/>
          <w:lang w:val="am-ET"/>
        </w:rPr>
        <w:t>(</w:t>
      </w:r>
      <w:r w:rsidRPr="000D2B40">
        <w:rPr>
          <w:rStyle w:val="FootnoteReference"/>
          <w:bCs/>
          <w:color w:val="auto"/>
          <w:spacing w:val="-4"/>
          <w:szCs w:val="28"/>
          <w:lang w:val="am-ET"/>
        </w:rPr>
        <w:footnoteReference w:id="5"/>
      </w:r>
      <w:r w:rsidRPr="000D2B40">
        <w:rPr>
          <w:bCs/>
          <w:color w:val="auto"/>
          <w:spacing w:val="-4"/>
          <w:szCs w:val="28"/>
          <w:vertAlign w:val="superscript"/>
          <w:lang w:val="am-ET"/>
        </w:rPr>
        <w:t>)</w:t>
      </w:r>
      <w:r w:rsidRPr="000D2B40">
        <w:rPr>
          <w:color w:val="auto"/>
          <w:szCs w:val="28"/>
          <w:lang w:val="am-ET"/>
        </w:rPr>
        <w:t>, chưa đảm bảo theo tiến độ dự toán, do các tháng đầu năm một số đơn vị, địa phương đang trong giai đoạn triển khai các bước hồ sơ, thủ tục liên quan.</w:t>
      </w:r>
    </w:p>
    <w:p w:rsidR="00B66B1C" w:rsidRPr="000D2B40" w:rsidRDefault="00B66B1C" w:rsidP="00B66B1C">
      <w:pPr>
        <w:spacing w:before="120" w:after="120"/>
        <w:ind w:firstLine="709"/>
        <w:jc w:val="both"/>
        <w:rPr>
          <w:color w:val="auto"/>
          <w:lang w:val="am-ET"/>
        </w:rPr>
      </w:pPr>
      <w:r w:rsidRPr="000D2B40">
        <w:rPr>
          <w:b/>
          <w:color w:val="auto"/>
          <w:lang w:val="am-ET"/>
        </w:rPr>
        <w:t>2</w:t>
      </w:r>
      <w:r w:rsidRPr="000D2B40">
        <w:rPr>
          <w:b/>
          <w:color w:val="auto"/>
        </w:rPr>
        <w:t xml:space="preserve">. </w:t>
      </w:r>
      <w:r w:rsidRPr="000D2B40">
        <w:rPr>
          <w:b/>
          <w:color w:val="auto"/>
          <w:lang w:val="am-ET"/>
        </w:rPr>
        <w:t xml:space="preserve">Ý kiến của </w:t>
      </w:r>
      <w:r w:rsidRPr="000D2B40">
        <w:rPr>
          <w:b/>
          <w:color w:val="auto"/>
        </w:rPr>
        <w:t xml:space="preserve">Ban Kinh tế - Xã hội </w:t>
      </w:r>
    </w:p>
    <w:p w:rsidR="00B66B1C" w:rsidRPr="000D2B40" w:rsidRDefault="00B66B1C" w:rsidP="00B66B1C">
      <w:pPr>
        <w:spacing w:before="120" w:after="120"/>
        <w:ind w:firstLine="709"/>
        <w:jc w:val="both"/>
        <w:rPr>
          <w:color w:val="auto"/>
          <w:szCs w:val="28"/>
        </w:rPr>
      </w:pPr>
      <w:r w:rsidRPr="000D2B40">
        <w:rPr>
          <w:color w:val="auto"/>
          <w:szCs w:val="28"/>
        </w:rPr>
        <w:t xml:space="preserve">Ban Kinh tế - Xã hội cơ bản </w:t>
      </w:r>
      <w:r w:rsidRPr="000D2B40">
        <w:rPr>
          <w:color w:val="auto"/>
          <w:szCs w:val="28"/>
          <w:lang w:val="am-ET"/>
        </w:rPr>
        <w:t>thống nhất với báo cáo</w:t>
      </w:r>
      <w:r w:rsidRPr="000D2B40">
        <w:rPr>
          <w:color w:val="auto"/>
          <w:szCs w:val="28"/>
        </w:rPr>
        <w:t xml:space="preserve"> của UBND huyện về </w:t>
      </w:r>
      <w:r w:rsidRPr="000D2B40">
        <w:rPr>
          <w:color w:val="auto"/>
          <w:szCs w:val="28"/>
          <w:lang w:val="am-ET"/>
        </w:rPr>
        <w:t xml:space="preserve">những kết quả đạt được, hạn chế tồn tại và </w:t>
      </w:r>
      <w:r w:rsidRPr="000D2B40">
        <w:rPr>
          <w:color w:val="auto"/>
          <w:szCs w:val="28"/>
        </w:rPr>
        <w:t>những giải pháp nhằm đảm bảo việc thực hiện dự toán NSNN năm 2017 đạt kết quả tốt nhất.</w:t>
      </w:r>
      <w:r w:rsidRPr="000D2B40">
        <w:rPr>
          <w:color w:val="auto"/>
          <w:szCs w:val="28"/>
          <w:lang w:val="am-ET"/>
        </w:rPr>
        <w:t xml:space="preserve"> B</w:t>
      </w:r>
      <w:r w:rsidRPr="000D2B40">
        <w:rPr>
          <w:color w:val="auto"/>
          <w:szCs w:val="28"/>
        </w:rPr>
        <w:t xml:space="preserve">an đề nghị UBND huyện </w:t>
      </w:r>
      <w:r w:rsidRPr="000D2B40">
        <w:rPr>
          <w:color w:val="auto"/>
          <w:szCs w:val="28"/>
          <w:lang w:val="am-ET"/>
        </w:rPr>
        <w:t xml:space="preserve">cần quan tâm </w:t>
      </w:r>
      <w:r w:rsidRPr="000D2B40">
        <w:rPr>
          <w:color w:val="auto"/>
          <w:szCs w:val="28"/>
        </w:rPr>
        <w:t xml:space="preserve">chỉ đạo </w:t>
      </w:r>
      <w:r w:rsidRPr="000D2B40">
        <w:rPr>
          <w:color w:val="auto"/>
          <w:szCs w:val="28"/>
          <w:lang w:val="am-ET"/>
        </w:rPr>
        <w:t xml:space="preserve">quyết liệt </w:t>
      </w:r>
      <w:r w:rsidRPr="000D2B40">
        <w:rPr>
          <w:color w:val="auto"/>
          <w:szCs w:val="28"/>
        </w:rPr>
        <w:t>một số nội dung sau:</w:t>
      </w:r>
    </w:p>
    <w:p w:rsidR="00B66B1C" w:rsidRPr="000D2B40" w:rsidRDefault="00B66B1C" w:rsidP="00B66B1C">
      <w:pPr>
        <w:spacing w:before="120" w:after="120"/>
        <w:ind w:firstLine="709"/>
        <w:jc w:val="both"/>
        <w:rPr>
          <w:color w:val="auto"/>
        </w:rPr>
      </w:pPr>
      <w:r w:rsidRPr="000D2B40">
        <w:rPr>
          <w:color w:val="auto"/>
        </w:rPr>
        <w:t xml:space="preserve">- Phân tích, đánh giá và nhận định đúng tình hình thực hiện thu ngân sách; tăng cường công tác quản lý thu, chống thất thu và thu hồi nợ đọng thuế đúng theo quy định, không để gia tăng thêm số nợ mới; tăng cường khai thác nguồn thu mới; kịp thời điều chỉnh, sắp xếp nhiệm vụ chi theo quy định, đảm bảo tiết kiệm phù </w:t>
      </w:r>
      <w:r w:rsidRPr="000D2B40">
        <w:rPr>
          <w:color w:val="auto"/>
        </w:rPr>
        <w:lastRenderedPageBreak/>
        <w:t>hợp với tiến độ thu; đảm bảo kinh phí chi lương và các chế độ chính sách theo quy định.</w:t>
      </w:r>
    </w:p>
    <w:p w:rsidR="00B66B1C" w:rsidRPr="000D2B40" w:rsidRDefault="00B66B1C" w:rsidP="00B66B1C">
      <w:pPr>
        <w:spacing w:before="120" w:after="120"/>
        <w:ind w:firstLine="709"/>
        <w:jc w:val="both"/>
        <w:rPr>
          <w:color w:val="auto"/>
        </w:rPr>
      </w:pPr>
      <w:r w:rsidRPr="000D2B40">
        <w:rPr>
          <w:color w:val="auto"/>
        </w:rPr>
        <w:tab/>
        <w:t>- Đề nghị UBND huyện chỉ đạo các ngành thực hiện nghiêm túc chỉ đạo của Chính phủ, Bộ ngành Trung ương, UBND tỉnh, Sở Tài chính về những nhiệm vụ, giải pháp điều hành dự toán NSNN năm 2017; thực hiện các kết luận của Kiểm toán nhà nước. Đồng thời, chỉ đạo cơ quan liên quan tăng cường công tác thanh tra, kiểm tra việc chấp hành ngân sách của các đơn vị, địa phương đúng theo quy định.</w:t>
      </w:r>
    </w:p>
    <w:p w:rsidR="00B66B1C" w:rsidRPr="000D2B40" w:rsidRDefault="00B66B1C" w:rsidP="00B66B1C">
      <w:pPr>
        <w:spacing w:before="120" w:after="120"/>
        <w:ind w:firstLine="709"/>
        <w:jc w:val="both"/>
        <w:rPr>
          <w:color w:val="auto"/>
        </w:rPr>
      </w:pPr>
      <w:r w:rsidRPr="000D2B40">
        <w:rPr>
          <w:color w:val="auto"/>
        </w:rPr>
        <w:t>- Thường xuyên kiểm tra, đôn đốc tình hình triển khai thực hiện các dự án sử dụng nguồn vốn thuộc kế hoạch đầu tư công năm 2017 trên địa bàn huyện. Chỉ đạo các chủ đầu tư đẩy nhanh tiến độ thực hiện, giải ngân kế hoạch vốn được giao, hạn chế chuyển nguồn sang năm sau; thực hiện quyết toán công trình xây dựng cơ bản hoàn thành đúng quy định.</w:t>
      </w:r>
    </w:p>
    <w:p w:rsidR="00B66B1C" w:rsidRPr="000D2B40" w:rsidRDefault="00B66B1C" w:rsidP="00B66B1C">
      <w:pPr>
        <w:spacing w:before="120" w:after="120"/>
        <w:ind w:firstLine="709"/>
        <w:jc w:val="both"/>
        <w:rPr>
          <w:color w:val="auto"/>
        </w:rPr>
      </w:pPr>
      <w:r w:rsidRPr="000D2B40">
        <w:rPr>
          <w:color w:val="auto"/>
        </w:rPr>
        <w:tab/>
        <w:t>Trên đây là báo cáo thẩm tra của Ban Kinh tế - Xã hội về Báo cáo số 296/BC-UBND ngày 17/7/2017 của UBND huyện về tình hình thực hiện dự toán thu, chi ngân sách 6 tháng đầu năm 2017.</w:t>
      </w:r>
    </w:p>
    <w:p w:rsidR="00B66B1C" w:rsidRPr="000D2B40" w:rsidRDefault="00B66B1C" w:rsidP="00B66B1C">
      <w:pPr>
        <w:spacing w:before="120" w:after="120"/>
        <w:ind w:firstLine="709"/>
        <w:jc w:val="both"/>
        <w:rPr>
          <w:color w:val="auto"/>
        </w:rPr>
      </w:pPr>
      <w:r w:rsidRPr="000D2B40">
        <w:rPr>
          <w:color w:val="auto"/>
        </w:rPr>
        <w:tab/>
        <w:t>Trình Hội đồng nhân dân huyện, khóa X kỳ họp thứ 4 xem xét, quyết định./.</w:t>
      </w:r>
    </w:p>
    <w:tbl>
      <w:tblPr>
        <w:tblW w:w="4900" w:type="pct"/>
        <w:tblInd w:w="108" w:type="dxa"/>
        <w:tblLook w:val="01E0"/>
      </w:tblPr>
      <w:tblGrid>
        <w:gridCol w:w="4304"/>
        <w:gridCol w:w="5076"/>
      </w:tblGrid>
      <w:tr w:rsidR="00B66B1C" w:rsidRPr="000D2B40" w:rsidTr="00A0367B">
        <w:trPr>
          <w:trHeight w:val="1241"/>
        </w:trPr>
        <w:tc>
          <w:tcPr>
            <w:tcW w:w="2294" w:type="pct"/>
            <w:shd w:val="clear" w:color="auto" w:fill="auto"/>
          </w:tcPr>
          <w:p w:rsidR="00B66B1C" w:rsidRPr="000D2B40" w:rsidRDefault="00B66B1C" w:rsidP="00A0367B">
            <w:pPr>
              <w:spacing w:before="60"/>
              <w:rPr>
                <w:b/>
                <w:i/>
                <w:color w:val="auto"/>
                <w:sz w:val="24"/>
              </w:rPr>
            </w:pPr>
            <w:r w:rsidRPr="000D2B40">
              <w:rPr>
                <w:b/>
                <w:i/>
                <w:color w:val="auto"/>
                <w:sz w:val="24"/>
              </w:rPr>
              <w:t>Nơi nhận:</w:t>
            </w:r>
          </w:p>
          <w:p w:rsidR="00B66B1C" w:rsidRPr="000D2B40" w:rsidRDefault="00B66B1C" w:rsidP="00A0367B">
            <w:pPr>
              <w:rPr>
                <w:color w:val="auto"/>
                <w:sz w:val="22"/>
              </w:rPr>
            </w:pPr>
            <w:r w:rsidRPr="000D2B40">
              <w:rPr>
                <w:color w:val="auto"/>
                <w:sz w:val="22"/>
              </w:rPr>
              <w:t>- Thường trực HĐND huyện;</w:t>
            </w:r>
          </w:p>
          <w:p w:rsidR="00B66B1C" w:rsidRPr="000D2B40" w:rsidRDefault="00B66B1C" w:rsidP="00A0367B">
            <w:pPr>
              <w:rPr>
                <w:color w:val="auto"/>
                <w:sz w:val="22"/>
              </w:rPr>
            </w:pPr>
            <w:r w:rsidRPr="000D2B40">
              <w:rPr>
                <w:color w:val="auto"/>
                <w:sz w:val="22"/>
              </w:rPr>
              <w:t>- Đại biểu HĐND huyện;</w:t>
            </w:r>
          </w:p>
          <w:p w:rsidR="00B66B1C" w:rsidRPr="000D2B40" w:rsidRDefault="00B66B1C" w:rsidP="00A0367B">
            <w:pPr>
              <w:rPr>
                <w:color w:val="auto"/>
              </w:rPr>
            </w:pPr>
            <w:r w:rsidRPr="000D2B40">
              <w:rPr>
                <w:color w:val="auto"/>
                <w:sz w:val="22"/>
              </w:rPr>
              <w:t>- Lưu: VT, KT-XH</w:t>
            </w:r>
            <w:r w:rsidRPr="000D2B40">
              <w:rPr>
                <w:color w:val="auto"/>
                <w:sz w:val="14"/>
              </w:rPr>
              <w:t>.</w:t>
            </w:r>
          </w:p>
        </w:tc>
        <w:tc>
          <w:tcPr>
            <w:tcW w:w="2706" w:type="pct"/>
            <w:shd w:val="clear" w:color="auto" w:fill="auto"/>
          </w:tcPr>
          <w:p w:rsidR="00B66B1C" w:rsidRPr="000D2B40" w:rsidRDefault="00B66B1C" w:rsidP="00A0367B">
            <w:pPr>
              <w:spacing w:before="60"/>
              <w:jc w:val="center"/>
              <w:rPr>
                <w:b/>
                <w:color w:val="auto"/>
              </w:rPr>
            </w:pPr>
            <w:r w:rsidRPr="000D2B40">
              <w:rPr>
                <w:b/>
                <w:color w:val="auto"/>
              </w:rPr>
              <w:t>TM. BAN KINH TẾ - XÃ HỘI</w:t>
            </w:r>
          </w:p>
          <w:p w:rsidR="00B66B1C" w:rsidRPr="000D2B40" w:rsidRDefault="00B66B1C" w:rsidP="00A0367B">
            <w:pPr>
              <w:jc w:val="center"/>
              <w:rPr>
                <w:b/>
                <w:color w:val="auto"/>
              </w:rPr>
            </w:pPr>
            <w:r w:rsidRPr="000D2B40">
              <w:rPr>
                <w:b/>
                <w:color w:val="auto"/>
              </w:rPr>
              <w:t>TRƯỞNG BAN</w:t>
            </w:r>
          </w:p>
          <w:p w:rsidR="00B66B1C" w:rsidRPr="000D2B40" w:rsidRDefault="00B66B1C" w:rsidP="00A0367B">
            <w:pPr>
              <w:jc w:val="center"/>
              <w:rPr>
                <w:b/>
                <w:color w:val="auto"/>
              </w:rPr>
            </w:pPr>
            <w:r w:rsidRPr="000D2B40">
              <w:rPr>
                <w:b/>
                <w:color w:val="auto"/>
              </w:rPr>
              <w:t>(Đã ký)</w:t>
            </w:r>
          </w:p>
          <w:p w:rsidR="00B66B1C" w:rsidRPr="000D2B40" w:rsidRDefault="00B66B1C" w:rsidP="00A0367B">
            <w:pPr>
              <w:jc w:val="center"/>
              <w:rPr>
                <w:b/>
                <w:color w:val="auto"/>
              </w:rPr>
            </w:pPr>
          </w:p>
          <w:p w:rsidR="00B66B1C" w:rsidRPr="000D2B40" w:rsidRDefault="00B66B1C" w:rsidP="00A0367B">
            <w:pPr>
              <w:jc w:val="center"/>
              <w:rPr>
                <w:b/>
                <w:color w:val="auto"/>
                <w:sz w:val="26"/>
              </w:rPr>
            </w:pPr>
            <w:r w:rsidRPr="000D2B40">
              <w:rPr>
                <w:b/>
                <w:color w:val="auto"/>
              </w:rPr>
              <w:t>Nguyễn Viết Hùng</w:t>
            </w:r>
          </w:p>
          <w:p w:rsidR="00B66B1C" w:rsidRPr="000D2B40" w:rsidRDefault="00B66B1C" w:rsidP="00A0367B">
            <w:pPr>
              <w:spacing w:before="40"/>
              <w:jc w:val="center"/>
              <w:rPr>
                <w:b/>
                <w:color w:val="auto"/>
                <w:sz w:val="26"/>
              </w:rPr>
            </w:pPr>
          </w:p>
        </w:tc>
      </w:tr>
    </w:tbl>
    <w:p w:rsidR="00B66B1C" w:rsidRPr="000D2B40" w:rsidRDefault="00B66B1C" w:rsidP="00B66B1C">
      <w:pPr>
        <w:rPr>
          <w:color w:val="auto"/>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22D" w:rsidRDefault="00B4222D" w:rsidP="00B66B1C">
      <w:r>
        <w:separator/>
      </w:r>
    </w:p>
  </w:endnote>
  <w:endnote w:type="continuationSeparator" w:id="1">
    <w:p w:rsidR="00B4222D" w:rsidRDefault="00B4222D" w:rsidP="00B66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22D" w:rsidRDefault="00B4222D" w:rsidP="00B66B1C">
      <w:r>
        <w:separator/>
      </w:r>
    </w:p>
  </w:footnote>
  <w:footnote w:type="continuationSeparator" w:id="1">
    <w:p w:rsidR="00B4222D" w:rsidRDefault="00B4222D" w:rsidP="00B66B1C">
      <w:r>
        <w:continuationSeparator/>
      </w:r>
    </w:p>
  </w:footnote>
  <w:footnote w:id="2">
    <w:p w:rsidR="00B66B1C" w:rsidRPr="004C73E6" w:rsidRDefault="00B66B1C" w:rsidP="00B66B1C">
      <w:pPr>
        <w:ind w:firstLine="567"/>
        <w:jc w:val="both"/>
        <w:rPr>
          <w:color w:val="auto"/>
          <w:sz w:val="20"/>
          <w:szCs w:val="20"/>
        </w:rPr>
      </w:pPr>
      <w:r>
        <w:rPr>
          <w:color w:val="auto"/>
          <w:sz w:val="20"/>
          <w:szCs w:val="20"/>
          <w:vertAlign w:val="superscript"/>
        </w:rPr>
        <w:t>(</w:t>
      </w:r>
      <w:r w:rsidRPr="004C73E6">
        <w:rPr>
          <w:rStyle w:val="FootnoteReference"/>
          <w:color w:val="auto"/>
          <w:sz w:val="20"/>
          <w:szCs w:val="20"/>
        </w:rPr>
        <w:footnoteRef/>
      </w:r>
      <w:r>
        <w:rPr>
          <w:color w:val="auto"/>
          <w:sz w:val="20"/>
          <w:szCs w:val="20"/>
          <w:vertAlign w:val="superscript"/>
        </w:rPr>
        <w:t>)</w:t>
      </w:r>
      <w:r w:rsidRPr="004C73E6">
        <w:rPr>
          <w:color w:val="auto"/>
          <w:sz w:val="20"/>
          <w:szCs w:val="20"/>
        </w:rPr>
        <w:t xml:space="preserve"> </w:t>
      </w:r>
      <w:r>
        <w:rPr>
          <w:color w:val="auto"/>
          <w:sz w:val="20"/>
          <w:szCs w:val="20"/>
        </w:rPr>
        <w:t>Trong đó: Chi cục thuế huyện thu: 25.737 triệu đồng</w:t>
      </w:r>
      <w:r w:rsidRPr="004C73E6">
        <w:rPr>
          <w:color w:val="auto"/>
          <w:sz w:val="20"/>
          <w:szCs w:val="20"/>
        </w:rPr>
        <w:t>.</w:t>
      </w:r>
    </w:p>
  </w:footnote>
  <w:footnote w:id="3">
    <w:p w:rsidR="00B66B1C" w:rsidRPr="004C73E6" w:rsidRDefault="00B66B1C" w:rsidP="00B66B1C">
      <w:pPr>
        <w:pStyle w:val="FootnoteText"/>
        <w:ind w:firstLine="567"/>
        <w:jc w:val="both"/>
      </w:pPr>
      <w:r>
        <w:rPr>
          <w:vertAlign w:val="superscript"/>
        </w:rPr>
        <w:t>(</w:t>
      </w:r>
      <w:r w:rsidRPr="004C73E6">
        <w:rPr>
          <w:rStyle w:val="FootnoteReference"/>
        </w:rPr>
        <w:footnoteRef/>
      </w:r>
      <w:r>
        <w:rPr>
          <w:vertAlign w:val="superscript"/>
        </w:rPr>
        <w:t>)</w:t>
      </w:r>
      <w:r w:rsidRPr="004C73E6">
        <w:t xml:space="preserve"> </w:t>
      </w:r>
      <w:r>
        <w:t>Ước thu 6 tháng đầu năm 2016 là 30.735 triệu đồng</w:t>
      </w:r>
      <w:r w:rsidRPr="004C73E6">
        <w:t>.</w:t>
      </w:r>
    </w:p>
  </w:footnote>
  <w:footnote w:id="4">
    <w:p w:rsidR="00B66B1C" w:rsidRPr="00725005" w:rsidRDefault="00B66B1C" w:rsidP="00B66B1C">
      <w:pPr>
        <w:pStyle w:val="FootnoteText"/>
        <w:ind w:firstLine="567"/>
        <w:jc w:val="both"/>
      </w:pPr>
      <w:r>
        <w:rPr>
          <w:vertAlign w:val="superscript"/>
        </w:rPr>
        <w:t>(</w:t>
      </w:r>
      <w:r>
        <w:rPr>
          <w:rStyle w:val="FootnoteReference"/>
        </w:rPr>
        <w:footnoteRef/>
      </w:r>
      <w:r>
        <w:rPr>
          <w:vertAlign w:val="superscript"/>
        </w:rPr>
        <w:t>)</w:t>
      </w:r>
      <w:r>
        <w:t xml:space="preserve"> Trong đó, thu bổ sung cân đối 190.373 triệu đồng, bổ sung có mục tiêu 20.440 triệu đồng, thu ngân sách huyện hưởng theo phân cấp 52.820 triệu đồng, các khoản ghi thu,ghi chi 450 triệu đồng.</w:t>
      </w:r>
    </w:p>
  </w:footnote>
  <w:footnote w:id="5">
    <w:p w:rsidR="00B66B1C" w:rsidRPr="004C73E6" w:rsidRDefault="00B66B1C" w:rsidP="00B66B1C">
      <w:pPr>
        <w:pStyle w:val="FootnoteText"/>
        <w:ind w:firstLine="426"/>
      </w:pPr>
      <w:r>
        <w:rPr>
          <w:vertAlign w:val="superscript"/>
        </w:rPr>
        <w:t>(</w:t>
      </w:r>
      <w:r w:rsidRPr="004C73E6">
        <w:rPr>
          <w:rStyle w:val="FootnoteReference"/>
        </w:rPr>
        <w:footnoteRef/>
      </w:r>
      <w:r>
        <w:rPr>
          <w:vertAlign w:val="superscript"/>
        </w:rPr>
        <w:t>)</w:t>
      </w:r>
      <w:r w:rsidRPr="004C73E6">
        <w:t xml:space="preserve"> Trong đó: Chi sự nghiệp </w:t>
      </w:r>
      <w:r>
        <w:t>môi trường</w:t>
      </w:r>
      <w:r w:rsidRPr="004C73E6">
        <w:t xml:space="preserve"> </w:t>
      </w:r>
      <w:r>
        <w:t>23</w:t>
      </w:r>
      <w:r w:rsidRPr="004C73E6">
        <w:t xml:space="preserve">%, sự nghiệp kinh tế </w:t>
      </w:r>
      <w:r>
        <w:t>32</w:t>
      </w:r>
      <w:r w:rsidRPr="004C73E6">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B66B1C"/>
    <w:rsid w:val="004A5DBD"/>
    <w:rsid w:val="0086205A"/>
    <w:rsid w:val="00B4222D"/>
    <w:rsid w:val="00B66B1C"/>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1C"/>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B66B1C"/>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B66B1C"/>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B66B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2018-05-23T07:35:00Z</dcterms:created>
  <dcterms:modified xsi:type="dcterms:W3CDTF">2018-05-23T07:35:00Z</dcterms:modified>
</cp:coreProperties>
</file>