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16"/>
        <w:gridCol w:w="6035"/>
      </w:tblGrid>
      <w:tr w:rsidR="00AE64C2" w:rsidTr="00A72BFC">
        <w:trPr>
          <w:trHeight w:val="997"/>
        </w:trPr>
        <w:tc>
          <w:tcPr>
            <w:tcW w:w="3316" w:type="dxa"/>
          </w:tcPr>
          <w:p w:rsidR="00AE64C2" w:rsidRPr="00EC3AEF" w:rsidRDefault="00AE64C2" w:rsidP="00A0534C">
            <w:pPr>
              <w:jc w:val="center"/>
              <w:rPr>
                <w:b/>
                <w:color w:val="auto"/>
                <w:sz w:val="26"/>
                <w:szCs w:val="26"/>
                <w:lang w:val="fr-FR"/>
              </w:rPr>
            </w:pPr>
            <w:r w:rsidRPr="00EC3AEF">
              <w:rPr>
                <w:b/>
                <w:color w:val="auto"/>
                <w:sz w:val="26"/>
                <w:szCs w:val="26"/>
                <w:lang w:val="fr-FR"/>
              </w:rPr>
              <w:t>ỦY BAN NHÂN DÂN</w:t>
            </w:r>
          </w:p>
          <w:p w:rsidR="00AE64C2" w:rsidRPr="00EC3AEF" w:rsidRDefault="00AE64C2" w:rsidP="00A0534C">
            <w:pPr>
              <w:jc w:val="center"/>
              <w:rPr>
                <w:color w:val="auto"/>
                <w:szCs w:val="28"/>
              </w:rPr>
            </w:pPr>
            <w:r w:rsidRPr="00177B0D">
              <w:rPr>
                <w:rFonts w:asciiTheme="minorHAnsi" w:eastAsiaTheme="minorHAnsi" w:hAnsiTheme="minorHAnsi" w:cstheme="minorBidi"/>
                <w:color w:val="auto"/>
                <w:sz w:val="26"/>
                <w:szCs w:val="26"/>
              </w:rPr>
              <w:pict>
                <v:line id="_x0000_s1026" style="position:absolute;left:0;text-align:left;z-index:251660288;visibility:visible;mso-wrap-distance-top:-3e-5mm;mso-wrap-distance-bottom:-3e-5mm" from="51.35pt,19.35pt" to="98.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X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NJ+OoYP05kpIccsz1vlPXPcoGCWWQgXVSEGOL84H&#10;HqS4hYRjpTdCyth5qdBQ4sV0PI0JTkvBgjOEOdvuK2nRkYTZiV8sCjyPYVYfFItgHSdsfbU9EfJi&#10;w+VSBTyoBOhcrctw/Fiki/V8Pc9H+Xi2HuVpXY8+bqp8NNtkH6b1pK6qOvsZqGV50QnGuArsboOa&#10;5X83CNcncxmx+6jeZUjeoke9gOztH0nHVobuXeZgr9l5a28thtmMwdd3FIb/cQ/242tf/QIAAP//&#10;AwBQSwMEFAAGAAgAAAAhACyg0R3bAAAABwEAAA8AAABkcnMvZG93bnJldi54bWxMjsFOwzAQRO9I&#10;/IO1SFyq1iEtUEKcCgG5caEUcd3GSxIRr9PYbQNfz8IFjk8zmnn5anSdOtAQWs8GLmYJKOLK25Zr&#10;A5uXcroEFSKyxc4zGfikAKvi9CTHzPojP9NhHWslIxwyNNDE2Gdah6ohh2Hme2LJ3v3gMAoOtbYD&#10;HmXcdTpNkivtsGV5aLCn+4aqj/XeGQjlK+3Kr0k1Sd7mtad09/D0iMacn413t6AijfGvDD/6og6F&#10;OG39nm1QnfDl/FqqBtIFKMnTxfIG1PaXdZHr//7FNwAAAP//AwBQSwECLQAUAAYACAAAACEAtoM4&#10;kv4AAADhAQAAEwAAAAAAAAAAAAAAAAAAAAAAW0NvbnRlbnRfVHlwZXNdLnhtbFBLAQItABQABgAI&#10;AAAAIQA4/SH/1gAAAJQBAAALAAAAAAAAAAAAAAAAAC8BAABfcmVscy8ucmVsc1BLAQItABQABgAI&#10;AAAAIQB/agAXHAIAADUEAAAOAAAAAAAAAAAAAAAAAC4CAABkcnMvZTJvRG9jLnhtbFBLAQItABQA&#10;BgAIAAAAIQAsoNEd2wAAAAcBAAAPAAAAAAAAAAAAAAAAAHYEAABkcnMvZG93bnJldi54bWxQSwUG&#10;AAAAAAQABADzAAAAfgUAAAAA&#10;"/>
              </w:pict>
            </w:r>
            <w:r w:rsidRPr="00EC3AEF">
              <w:rPr>
                <w:b/>
                <w:color w:val="auto"/>
                <w:sz w:val="26"/>
                <w:szCs w:val="26"/>
                <w:lang w:val="fr-FR"/>
              </w:rPr>
              <w:t xml:space="preserve"> HUYỆN SA THẦY</w:t>
            </w:r>
          </w:p>
        </w:tc>
        <w:tc>
          <w:tcPr>
            <w:tcW w:w="6035" w:type="dxa"/>
          </w:tcPr>
          <w:p w:rsidR="00AE64C2" w:rsidRPr="00EC3AEF" w:rsidRDefault="00AE64C2" w:rsidP="00A0534C">
            <w:pPr>
              <w:jc w:val="center"/>
              <w:rPr>
                <w:b/>
                <w:color w:val="auto"/>
                <w:sz w:val="26"/>
                <w:szCs w:val="26"/>
              </w:rPr>
            </w:pPr>
            <w:r w:rsidRPr="00EC3AEF">
              <w:rPr>
                <w:b/>
                <w:color w:val="auto"/>
                <w:sz w:val="26"/>
                <w:szCs w:val="26"/>
              </w:rPr>
              <w:t>CỘNG HOÀ XÃ HỘI CHỦ NGHĨA VIỆT NAM</w:t>
            </w:r>
          </w:p>
          <w:p w:rsidR="00AE64C2" w:rsidRPr="00EC3AEF" w:rsidRDefault="00AE64C2" w:rsidP="00A0534C">
            <w:pPr>
              <w:jc w:val="center"/>
              <w:rPr>
                <w:b/>
                <w:color w:val="auto"/>
                <w:szCs w:val="28"/>
              </w:rPr>
            </w:pPr>
            <w:r w:rsidRPr="00177B0D">
              <w:rPr>
                <w:rFonts w:asciiTheme="minorHAnsi" w:eastAsiaTheme="minorHAnsi" w:hAnsiTheme="minorHAnsi" w:cstheme="minorBidi"/>
                <w:color w:val="auto"/>
                <w:sz w:val="22"/>
                <w:szCs w:val="24"/>
              </w:rPr>
              <w:pict>
                <v:line id="_x0000_s1027" style="position:absolute;left:0;text-align:left;z-index:251661312;visibility:visible;mso-wrap-distance-top:-3e-5mm;mso-wrap-distance-bottom:-3e-5mm" from="66.8pt,19.35pt" to="238.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R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n2ZpPsWI3nwJKW6Jxjr/ieseBaPEUqggGynI8cX5&#10;QIQUt5BwrPRGSBlbLxUaSryYZtOY4LQULDhDmLPtvpIWHUkYnvjFqsDzGGb1QbEI1nHC1lfbEyEv&#10;NlwuVcCDUoDO1bpMx4/FZLGer+f5KM9m61E+qevRx02Vj2ab9Glaf6irqk5/BmppXnSCMa4Cu9uk&#10;pvnfTcL1zVxm7D6rdxmSt+hRLyB7+0fSsZehfZdB2Gt23tpbj2E4Y/D1IYXpf9yD/fjcV78AAAD/&#10;/wMAUEsDBBQABgAIAAAAIQAvHnUW2wAAAAcBAAAPAAAAZHJzL2Rvd25yZXYueG1sTI5NT8MwEETv&#10;SPwHa5G4VNTpBwFCnAoBufVCAXHdxksSEa/T2G0Dv56FCxyfZjTz8tXoOnWgIbSeDcymCSjiytuW&#10;awMvz+XFNagQkS12nsnAJwVYFacnOWbWH/mJDptYKxnhkKGBJsY+0zpUDTkMU98TS/buB4dRcKi1&#10;HfAo467T8yRJtcOW5aHBnu4bqj42e2cglK+0K78m1SR5W9Se5ruH9SMac3423t2CijTGvzL86Is6&#10;FOK09Xu2QXXCs2UqVQPpDSjJl5dXC1DbX9ZFrv/7F98AAAD//wMAUEsBAi0AFAAGAAgAAAAhALaD&#10;OJL+AAAA4QEAABMAAAAAAAAAAAAAAAAAAAAAAFtDb250ZW50X1R5cGVzXS54bWxQSwECLQAUAAYA&#10;CAAAACEAOP0h/9YAAACUAQAACwAAAAAAAAAAAAAAAAAvAQAAX3JlbHMvLnJlbHNQSwECLQAUAAYA&#10;CAAAACEAjYiv0R0CAAA2BAAADgAAAAAAAAAAAAAAAAAuAgAAZHJzL2Uyb0RvYy54bWxQSwECLQAU&#10;AAYACAAAACEALx51FtsAAAAHAQAADwAAAAAAAAAAAAAAAAB3BAAAZHJzL2Rvd25yZXYueG1sUEsF&#10;BgAAAAAEAAQA8wAAAH8FAAAAAA==&#10;"/>
              </w:pict>
            </w:r>
            <w:r w:rsidRPr="00EC3AEF">
              <w:rPr>
                <w:b/>
                <w:color w:val="auto"/>
                <w:szCs w:val="28"/>
              </w:rPr>
              <w:t>Độc lập - Tự do - Hạnh phúc</w:t>
            </w:r>
          </w:p>
        </w:tc>
      </w:tr>
      <w:tr w:rsidR="00AE64C2" w:rsidTr="00A72BFC">
        <w:trPr>
          <w:trHeight w:val="301"/>
        </w:trPr>
        <w:tc>
          <w:tcPr>
            <w:tcW w:w="3316" w:type="dxa"/>
          </w:tcPr>
          <w:p w:rsidR="00AE64C2" w:rsidRPr="00F15F69" w:rsidRDefault="00AE64C2" w:rsidP="00A0534C">
            <w:pPr>
              <w:jc w:val="center"/>
              <w:rPr>
                <w:color w:val="auto"/>
                <w:sz w:val="26"/>
                <w:szCs w:val="26"/>
              </w:rPr>
            </w:pPr>
            <w:r w:rsidRPr="00F15F69">
              <w:rPr>
                <w:color w:val="auto"/>
                <w:sz w:val="26"/>
                <w:szCs w:val="26"/>
              </w:rPr>
              <w:t xml:space="preserve">Số: 510 /BC-UBND </w:t>
            </w:r>
          </w:p>
        </w:tc>
        <w:tc>
          <w:tcPr>
            <w:tcW w:w="6035" w:type="dxa"/>
          </w:tcPr>
          <w:p w:rsidR="00AE64C2" w:rsidRPr="00A72BFC" w:rsidRDefault="00AE64C2" w:rsidP="00A0534C">
            <w:pPr>
              <w:jc w:val="center"/>
              <w:rPr>
                <w:b/>
                <w:color w:val="auto"/>
                <w:szCs w:val="28"/>
              </w:rPr>
            </w:pPr>
            <w:r w:rsidRPr="00A72BFC">
              <w:rPr>
                <w:i/>
                <w:color w:val="auto"/>
                <w:szCs w:val="28"/>
              </w:rPr>
              <w:t>Sa Thầy, ngày 01 tháng 12 năm 2016</w:t>
            </w:r>
          </w:p>
        </w:tc>
      </w:tr>
    </w:tbl>
    <w:p w:rsidR="00AE64C2" w:rsidRDefault="00AE64C2" w:rsidP="00AE64C2">
      <w:pPr>
        <w:ind w:firstLine="426"/>
        <w:jc w:val="center"/>
        <w:rPr>
          <w:b/>
          <w:szCs w:val="28"/>
        </w:rPr>
      </w:pPr>
    </w:p>
    <w:p w:rsidR="00AE64C2" w:rsidRPr="00A72BFC" w:rsidRDefault="00AE64C2" w:rsidP="00AE64C2">
      <w:pPr>
        <w:ind w:firstLine="425"/>
        <w:jc w:val="center"/>
        <w:rPr>
          <w:b/>
          <w:color w:val="auto"/>
          <w:szCs w:val="28"/>
        </w:rPr>
      </w:pPr>
      <w:r w:rsidRPr="00A72BFC">
        <w:rPr>
          <w:b/>
          <w:color w:val="auto"/>
          <w:szCs w:val="28"/>
        </w:rPr>
        <w:t>BÁO CÁO</w:t>
      </w:r>
    </w:p>
    <w:p w:rsidR="00AE64C2" w:rsidRPr="00A72BFC" w:rsidRDefault="00AE64C2" w:rsidP="00AE64C2">
      <w:pPr>
        <w:ind w:firstLine="425"/>
        <w:jc w:val="center"/>
        <w:rPr>
          <w:b/>
          <w:color w:val="auto"/>
          <w:szCs w:val="28"/>
        </w:rPr>
      </w:pPr>
      <w:r w:rsidRPr="00A72BFC">
        <w:rPr>
          <w:b/>
          <w:color w:val="auto"/>
          <w:szCs w:val="28"/>
        </w:rPr>
        <w:t xml:space="preserve">Công tác tiếp công dân và giải quyết đơn thư khiếu nại, tố cáo, </w:t>
      </w:r>
    </w:p>
    <w:p w:rsidR="00AE64C2" w:rsidRPr="005F7D92" w:rsidRDefault="00AE64C2" w:rsidP="00AE64C2">
      <w:pPr>
        <w:ind w:firstLine="425"/>
        <w:jc w:val="center"/>
        <w:rPr>
          <w:b/>
          <w:color w:val="auto"/>
          <w:sz w:val="26"/>
          <w:szCs w:val="26"/>
        </w:rPr>
      </w:pPr>
      <w:r w:rsidRPr="00A72BFC">
        <w:rPr>
          <w:b/>
          <w:color w:val="auto"/>
          <w:szCs w:val="28"/>
        </w:rPr>
        <w:t>kiến nghị, phản ánh năm 2016; phương hướng, nhiệm vụ năm 2017</w:t>
      </w:r>
    </w:p>
    <w:p w:rsidR="00AE64C2" w:rsidRPr="005F7D92" w:rsidRDefault="00AE64C2" w:rsidP="00AE64C2">
      <w:pPr>
        <w:spacing w:before="60" w:after="60"/>
        <w:ind w:firstLine="426"/>
        <w:jc w:val="both"/>
        <w:rPr>
          <w:b/>
          <w:color w:val="auto"/>
          <w:sz w:val="26"/>
          <w:szCs w:val="26"/>
        </w:rPr>
      </w:pPr>
      <w:r>
        <w:rPr>
          <w:b/>
          <w:noProof/>
          <w:color w:val="auto"/>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223.65pt;margin-top:3.4pt;width:38.5pt;height:0;z-index:251662336" o:connectortype="straight"/>
        </w:pict>
      </w:r>
    </w:p>
    <w:p w:rsidR="00AE64C2" w:rsidRPr="00A72BFC" w:rsidRDefault="00AE64C2" w:rsidP="00AE64C2">
      <w:pPr>
        <w:spacing w:before="60" w:after="60"/>
        <w:ind w:firstLine="720"/>
        <w:jc w:val="both"/>
        <w:rPr>
          <w:color w:val="auto"/>
          <w:szCs w:val="28"/>
        </w:rPr>
      </w:pPr>
      <w:r w:rsidRPr="00A72BFC">
        <w:rPr>
          <w:color w:val="auto"/>
          <w:szCs w:val="28"/>
        </w:rPr>
        <w:t>Căn cứ Luật Thanh tra; Luật Khiếu nại; Luật Tố cáo; Căn cứ chương trình kế hoạch công tác năm 2016,</w:t>
      </w:r>
    </w:p>
    <w:p w:rsidR="00AE64C2" w:rsidRPr="00A72BFC" w:rsidRDefault="00AE64C2" w:rsidP="00AE64C2">
      <w:pPr>
        <w:spacing w:before="60" w:after="60"/>
        <w:ind w:firstLine="720"/>
        <w:jc w:val="both"/>
        <w:rPr>
          <w:color w:val="auto"/>
          <w:szCs w:val="28"/>
        </w:rPr>
      </w:pPr>
      <w:r w:rsidRPr="00A72BFC">
        <w:rPr>
          <w:color w:val="auto"/>
          <w:szCs w:val="28"/>
        </w:rPr>
        <w:t>Trong năm 2016, UBND huyện đã chỉ đạo triển khai thực hiện công tác tiếp công dân và giải quyết đơn thư khiếu nại, tố cáo, kiến nghị, phản ánh đạt được kết quả như sau:</w:t>
      </w:r>
    </w:p>
    <w:p w:rsidR="00AE64C2" w:rsidRPr="00A72BFC" w:rsidRDefault="00AE64C2" w:rsidP="00AE64C2">
      <w:pPr>
        <w:spacing w:before="60" w:after="60"/>
        <w:ind w:firstLine="720"/>
        <w:jc w:val="both"/>
        <w:rPr>
          <w:b/>
          <w:color w:val="auto"/>
          <w:szCs w:val="28"/>
        </w:rPr>
      </w:pPr>
      <w:r w:rsidRPr="00A72BFC">
        <w:rPr>
          <w:b/>
          <w:color w:val="auto"/>
          <w:szCs w:val="28"/>
        </w:rPr>
        <w:t>I. CÔNG TÁC CHỈ ĐẠO ĐIỀU HÀNH</w:t>
      </w:r>
    </w:p>
    <w:p w:rsidR="00AE64C2" w:rsidRPr="00A72BFC" w:rsidRDefault="00AE64C2" w:rsidP="00AE64C2">
      <w:pPr>
        <w:spacing w:before="60" w:after="60"/>
        <w:ind w:firstLine="720"/>
        <w:jc w:val="both"/>
        <w:rPr>
          <w:b/>
          <w:color w:val="auto"/>
          <w:szCs w:val="28"/>
          <w:vertAlign w:val="superscript"/>
          <w:lang w:val="nl-NL"/>
        </w:rPr>
      </w:pPr>
      <w:r w:rsidRPr="00A72BFC">
        <w:rPr>
          <w:color w:val="auto"/>
          <w:szCs w:val="28"/>
          <w:lang w:val="nl-NL"/>
        </w:rPr>
        <w:t xml:space="preserve">Ngay từ đầu năm, UBND huyện đã có văn bản chỉ đạo Thủ trưởng các cơ quan chuyên môn, Chủ tịch UBND các xã, thị trấn trên địa bàn huyện tăng cường trách nhiệm trong công tác tiếp công dân, giải quyết đơn thư của công dân, kiểm tra, xem xét và giải quyết ngay tại cơ sở các vụ việc khiếu nại, kiến nghị, phản ánh của người dân, không để phát sinh điểm nóng và khiếu kiện đông người trên địa bàn huyện. Tập trung rà soát, giải quyết đối với các vụ việc khiếu nại, tố cáo đông người, phức tạp, kéo dài của người dân trên địa bàn huyện. Làm tốt công tác tiếp dân thường xuyên, tiếp công dân đột xuất để phục vụ Đại hội Đảng toàn quốc lần thứ XII và giữ vững tình hình an ninh chính trị, trật tự an toàn xã hội </w:t>
      </w:r>
      <w:r w:rsidRPr="00A72BFC">
        <w:rPr>
          <w:color w:val="auto"/>
          <w:szCs w:val="28"/>
          <w:lang w:val="it-IT"/>
        </w:rPr>
        <w:t xml:space="preserve">phục vụ công tác bầu cử Đại biểu Quốc hội và đại biểu HĐND các cấp nhiệm kỳ 2016 - 2021 </w:t>
      </w:r>
      <w:r w:rsidRPr="00A72BFC">
        <w:rPr>
          <w:color w:val="auto"/>
          <w:szCs w:val="28"/>
          <w:lang w:val="nl-NL"/>
        </w:rPr>
        <w:t xml:space="preserve">trên địa bàn huyện. </w:t>
      </w:r>
    </w:p>
    <w:p w:rsidR="00AE64C2" w:rsidRPr="00A72BFC" w:rsidRDefault="00AE64C2" w:rsidP="00AE64C2">
      <w:pPr>
        <w:spacing w:before="60" w:after="60"/>
        <w:ind w:firstLine="720"/>
        <w:jc w:val="both"/>
        <w:rPr>
          <w:color w:val="auto"/>
          <w:szCs w:val="28"/>
        </w:rPr>
      </w:pPr>
      <w:r w:rsidRPr="00A72BFC">
        <w:rPr>
          <w:color w:val="auto"/>
          <w:szCs w:val="28"/>
        </w:rPr>
        <w:t xml:space="preserve">Trong năm vừa qua, tình hình đơn thư khiếu nại, tố cáo phát sinh trên địa bàn huyện trong thời gian qua có chiều hướng gia tăng. Nội dung đơn thư tập trung chủ yếu về lĩnh vực đất đai, đền bù thiệt hại sau khi thu hồi đất để xây dựng các công trình công cộng, cấp giấy chứng nhận quyền sử dụng đất. Trước tình hình đó, UBND huyện đã kịp thời chỉ đạo, hướng dẫn các cơ quan, các xã, thị trấn củng cố bộ phận tiếp công dân, đổi mới và tăng cường công tác tiếp công dân và giải quyết đơn thư khiếu nại, tố cáo, không để đơn thư kéo dài. </w:t>
      </w:r>
    </w:p>
    <w:p w:rsidR="00AE64C2" w:rsidRPr="00A72BFC" w:rsidRDefault="00AE64C2" w:rsidP="00AE64C2">
      <w:pPr>
        <w:spacing w:before="60" w:after="60"/>
        <w:ind w:firstLine="720"/>
        <w:jc w:val="both"/>
        <w:rPr>
          <w:b/>
          <w:color w:val="auto"/>
          <w:szCs w:val="28"/>
        </w:rPr>
      </w:pPr>
      <w:r w:rsidRPr="00A72BFC">
        <w:rPr>
          <w:b/>
          <w:color w:val="auto"/>
          <w:szCs w:val="28"/>
        </w:rPr>
        <w:t>II. KẾT QUẢ CÔNG TÁC TIẾP CÔNG DÂN, XỬ LÝ ĐƠN THƯ, GIẢI QUYẾT KHIẾU NẠI, TỐ CÁO</w:t>
      </w:r>
    </w:p>
    <w:p w:rsidR="00AE64C2" w:rsidRPr="00A72BFC" w:rsidRDefault="00AE64C2" w:rsidP="00AE64C2">
      <w:pPr>
        <w:spacing w:before="60" w:after="60"/>
        <w:ind w:firstLine="720"/>
        <w:jc w:val="both"/>
        <w:rPr>
          <w:b/>
          <w:color w:val="auto"/>
          <w:szCs w:val="28"/>
        </w:rPr>
      </w:pPr>
      <w:r w:rsidRPr="00A72BFC">
        <w:rPr>
          <w:b/>
          <w:color w:val="auto"/>
          <w:szCs w:val="28"/>
        </w:rPr>
        <w:t>1. Công tác tiếp công dân</w:t>
      </w:r>
    </w:p>
    <w:p w:rsidR="00AE64C2" w:rsidRPr="00A72BFC" w:rsidRDefault="00AE64C2" w:rsidP="00AE64C2">
      <w:pPr>
        <w:spacing w:before="60" w:after="60"/>
        <w:ind w:firstLine="720"/>
        <w:jc w:val="both"/>
        <w:rPr>
          <w:color w:val="auto"/>
          <w:szCs w:val="28"/>
        </w:rPr>
      </w:pPr>
      <w:r w:rsidRPr="00A72BFC">
        <w:rPr>
          <w:color w:val="auto"/>
          <w:szCs w:val="28"/>
        </w:rPr>
        <w:t>Việc tiếp công dân tại Trụ sở Tiếp công dân của huyện được đảm bảo duy trì thường xuyên trong các ngày làm việc đối với cán bộ tiếp dân và các ngày 05, 19 hàng tháng của Chủ tịch Uỷ ban nhân dân huyện theo quy định của Luật Khiếu nại; Luật Tố cáo; Luật Tiếp công dân; Nghị định 64/2014/NĐ-CP ngày 26/6/2014 của Chính phủ về hướng dẫn một số điều của Luật Tiếp công dân.</w:t>
      </w:r>
    </w:p>
    <w:p w:rsidR="00AE64C2" w:rsidRPr="00A72BFC" w:rsidRDefault="00AE64C2" w:rsidP="00AE64C2">
      <w:pPr>
        <w:spacing w:before="60" w:after="60"/>
        <w:ind w:firstLine="720"/>
        <w:jc w:val="both"/>
        <w:rPr>
          <w:color w:val="auto"/>
          <w:szCs w:val="28"/>
        </w:rPr>
      </w:pPr>
      <w:r w:rsidRPr="00A72BFC">
        <w:rPr>
          <w:color w:val="auto"/>
          <w:szCs w:val="28"/>
        </w:rPr>
        <w:t xml:space="preserve">Thực hiện nghiêm việc niêm yết công khai thủ tục hành chính được chuẩn hóa thuộc phạm vi quản lý Nhà nước của Thanh tra Chính phủ, trong đó có lĩnh </w:t>
      </w:r>
      <w:r w:rsidRPr="00A72BFC">
        <w:rPr>
          <w:color w:val="auto"/>
          <w:szCs w:val="28"/>
        </w:rPr>
        <w:lastRenderedPageBreak/>
        <w:t xml:space="preserve">vực tiếp công dân, xử lý đơn thư, giải quyết khiếu nại, giải quyết tố cáo theo Quyết định số 1585/QĐ-TTCP ngày 21/6/2016 của Thanh tra Chính phủ; Quyết định số 913/QĐ-UBND ngày 14/10/2015 của UBND huyện Sa Thầy về việc ban hành Nội quy tiếp công dân tại Trụ sở tiếp công dân huyện Sa Thầy. </w:t>
      </w:r>
    </w:p>
    <w:p w:rsidR="00AE64C2" w:rsidRPr="00A72BFC" w:rsidRDefault="00AE64C2" w:rsidP="00AE64C2">
      <w:pPr>
        <w:spacing w:before="60" w:after="60"/>
        <w:ind w:firstLine="720"/>
        <w:jc w:val="both"/>
        <w:rPr>
          <w:color w:val="auto"/>
          <w:szCs w:val="28"/>
        </w:rPr>
      </w:pPr>
      <w:r w:rsidRPr="00A72BFC">
        <w:rPr>
          <w:color w:val="auto"/>
          <w:szCs w:val="28"/>
        </w:rPr>
        <w:t>Tính đến thời điểm 30/11/2016 trên địa bàn huyện đã tiếp: 179 lượt công dân đến phản ánh, kiến nghị</w:t>
      </w:r>
      <w:r w:rsidRPr="00A72BFC">
        <w:rPr>
          <w:color w:val="auto"/>
          <w:szCs w:val="28"/>
          <w:vertAlign w:val="superscript"/>
        </w:rPr>
        <w:t>(</w:t>
      </w:r>
      <w:r w:rsidRPr="00A72BFC">
        <w:rPr>
          <w:rStyle w:val="FootnoteReference"/>
          <w:color w:val="auto"/>
          <w:szCs w:val="28"/>
        </w:rPr>
        <w:footnoteReference w:id="2"/>
      </w:r>
      <w:r w:rsidRPr="00A72BFC">
        <w:rPr>
          <w:color w:val="auto"/>
          <w:szCs w:val="28"/>
          <w:vertAlign w:val="superscript"/>
        </w:rPr>
        <w:t>)</w:t>
      </w:r>
      <w:r w:rsidRPr="00A72BFC">
        <w:rPr>
          <w:color w:val="auto"/>
          <w:szCs w:val="28"/>
        </w:rPr>
        <w:t>.</w:t>
      </w:r>
      <w:r w:rsidRPr="00A72BFC">
        <w:rPr>
          <w:b/>
          <w:color w:val="auto"/>
          <w:szCs w:val="28"/>
        </w:rPr>
        <w:t xml:space="preserve"> </w:t>
      </w:r>
      <w:r w:rsidRPr="00A72BFC">
        <w:rPr>
          <w:color w:val="auto"/>
          <w:szCs w:val="28"/>
        </w:rPr>
        <w:t xml:space="preserve">Nội dung: Về lĩnh vực đất đai 106 lượt, chiếm tỷ lệ 59%; lĩnh vực chính sách: 19 lượt, chiếm tỷ lệ 11%; các lĩnh vực khác khác 54 lượt chiếm tỷ lệ 31%. Nội dung tiếp công dân tập trung chủ yếu về lĩnh vực đất đai, đền bù thiệt hại sau khi thu hồi đất để xây dựng các công trình công cộng, cấp giấy chứng nhận quyền sử dụng đất. </w:t>
      </w:r>
    </w:p>
    <w:p w:rsidR="00AE64C2" w:rsidRPr="00A72BFC" w:rsidRDefault="00AE64C2" w:rsidP="00AE64C2">
      <w:pPr>
        <w:spacing w:before="60" w:after="60"/>
        <w:ind w:firstLine="720"/>
        <w:jc w:val="both"/>
        <w:rPr>
          <w:rFonts w:eastAsia="Calibri"/>
          <w:iCs/>
          <w:color w:val="auto"/>
          <w:szCs w:val="28"/>
        </w:rPr>
      </w:pPr>
      <w:r w:rsidRPr="00A72BFC">
        <w:rPr>
          <w:iCs/>
          <w:color w:val="auto"/>
          <w:szCs w:val="28"/>
        </w:rPr>
        <w:t>C</w:t>
      </w:r>
      <w:r w:rsidRPr="00A72BFC">
        <w:rPr>
          <w:rFonts w:eastAsia="Calibri"/>
          <w:iCs/>
          <w:color w:val="auto"/>
          <w:szCs w:val="28"/>
        </w:rPr>
        <w:t>ác vụ việc khiếu nại, tố cáo đông người, phức tạp, kéo dài</w:t>
      </w:r>
      <w:r w:rsidRPr="00A72BFC">
        <w:rPr>
          <w:iCs/>
          <w:color w:val="auto"/>
          <w:szCs w:val="28"/>
        </w:rPr>
        <w:t xml:space="preserve"> </w:t>
      </w:r>
      <w:r w:rsidRPr="00A72BFC">
        <w:rPr>
          <w:rFonts w:eastAsia="Calibri"/>
          <w:iCs/>
          <w:color w:val="auto"/>
          <w:szCs w:val="28"/>
        </w:rPr>
        <w:t>còn tồn đọng trên địa bàn:</w:t>
      </w:r>
      <w:r w:rsidRPr="00A72BFC">
        <w:rPr>
          <w:rFonts w:eastAsia="Calibri"/>
          <w:i/>
          <w:iCs/>
          <w:color w:val="auto"/>
          <w:szCs w:val="28"/>
        </w:rPr>
        <w:t xml:space="preserve"> </w:t>
      </w:r>
      <w:r w:rsidRPr="00A72BFC">
        <w:rPr>
          <w:rFonts w:eastAsia="Calibri"/>
          <w:iCs/>
          <w:color w:val="auto"/>
          <w:szCs w:val="28"/>
        </w:rPr>
        <w:t>01 vụ - khiếu nại của các hộ dân xã Sa Sơn và Thị trấn về đất trồng cây cao su đối với Công ty TNHH MTV Cao su Kon Tum</w:t>
      </w:r>
      <w:r w:rsidRPr="00A72BFC">
        <w:rPr>
          <w:rFonts w:eastAsia="Calibri"/>
          <w:iCs/>
          <w:color w:val="auto"/>
          <w:szCs w:val="28"/>
          <w:vertAlign w:val="superscript"/>
        </w:rPr>
        <w:t>(</w:t>
      </w:r>
      <w:r w:rsidRPr="00A72BFC">
        <w:rPr>
          <w:rStyle w:val="FootnoteReference"/>
          <w:rFonts w:eastAsia="Calibri"/>
          <w:iCs/>
          <w:color w:val="auto"/>
          <w:szCs w:val="28"/>
        </w:rPr>
        <w:footnoteReference w:id="3"/>
      </w:r>
      <w:r w:rsidRPr="00A72BFC">
        <w:rPr>
          <w:rFonts w:eastAsia="Calibri"/>
          <w:iCs/>
          <w:color w:val="auto"/>
          <w:szCs w:val="28"/>
          <w:vertAlign w:val="superscript"/>
        </w:rPr>
        <w:t>)</w:t>
      </w:r>
      <w:r w:rsidRPr="00A72BFC">
        <w:rPr>
          <w:rFonts w:eastAsia="Calibri"/>
          <w:iCs/>
          <w:color w:val="auto"/>
          <w:szCs w:val="28"/>
        </w:rPr>
        <w:t>, UBND huyện đang tiếp tục chỉ đạo để giải quyết dứt điểm. Các vụ việc khiếu nại, tố cáo phức tạp kéo dài: 02 vụ việc - khiếu nại các nội dung liên quan đến đất đai, 02 vụ việc trên tuy đã có Quyết định giải quyết khiếu nại lần hai của UBND tỉnh; đã có bản án của Tòa án nhưng công dân không đồng ý và tiếp tục gửi đơn khiếu nại, kiến nghị</w:t>
      </w:r>
      <w:r w:rsidRPr="00A72BFC">
        <w:rPr>
          <w:rFonts w:eastAsia="Calibri"/>
          <w:iCs/>
          <w:color w:val="auto"/>
          <w:szCs w:val="28"/>
          <w:vertAlign w:val="superscript"/>
        </w:rPr>
        <w:t>(</w:t>
      </w:r>
      <w:r w:rsidRPr="00A72BFC">
        <w:rPr>
          <w:rStyle w:val="FootnoteReference"/>
          <w:rFonts w:eastAsia="Calibri"/>
          <w:iCs/>
          <w:color w:val="auto"/>
          <w:szCs w:val="28"/>
        </w:rPr>
        <w:footnoteReference w:id="4"/>
      </w:r>
      <w:r w:rsidRPr="00A72BFC">
        <w:rPr>
          <w:rFonts w:eastAsia="Calibri"/>
          <w:iCs/>
          <w:color w:val="auto"/>
          <w:szCs w:val="28"/>
          <w:vertAlign w:val="superscript"/>
        </w:rPr>
        <w:t>)</w:t>
      </w:r>
      <w:r w:rsidRPr="00A72BFC">
        <w:rPr>
          <w:rFonts w:eastAsia="Calibri"/>
          <w:iCs/>
          <w:color w:val="auto"/>
          <w:szCs w:val="28"/>
        </w:rPr>
        <w:t>.</w:t>
      </w:r>
    </w:p>
    <w:p w:rsidR="00AE64C2" w:rsidRPr="00A72BFC" w:rsidRDefault="00AE64C2" w:rsidP="00AE64C2">
      <w:pPr>
        <w:spacing w:before="60" w:after="60"/>
        <w:ind w:firstLine="720"/>
        <w:jc w:val="both"/>
        <w:rPr>
          <w:rFonts w:eastAsiaTheme="minorHAnsi"/>
          <w:color w:val="auto"/>
          <w:szCs w:val="28"/>
        </w:rPr>
      </w:pPr>
      <w:r w:rsidRPr="00A72BFC">
        <w:rPr>
          <w:color w:val="auto"/>
          <w:szCs w:val="28"/>
        </w:rPr>
        <w:t xml:space="preserve"> </w:t>
      </w:r>
      <w:r w:rsidRPr="00A72BFC">
        <w:rPr>
          <w:color w:val="auto"/>
          <w:szCs w:val="28"/>
          <w:lang w:val="nl-NL"/>
        </w:rPr>
        <w:t xml:space="preserve">Lãnh đạo các cấp, các ngành đã nghe công dân trình bày sự việc, xem xét và trả lời, hướng dẫn, giải thích các quy định pháp luật có liên quan đến nội dung công dân trình bày; </w:t>
      </w:r>
      <w:r w:rsidRPr="00A72BFC">
        <w:rPr>
          <w:color w:val="auto"/>
          <w:szCs w:val="28"/>
        </w:rPr>
        <w:t>đồng thời giao cho các phòng, ban chuyên môn; UBND các xã, thị trấn kiểm tra, xem xét, giải quyết, tham mưu giải quyết theo đúng trình tự thủ tục của pháp luật.</w:t>
      </w:r>
    </w:p>
    <w:p w:rsidR="00AE64C2" w:rsidRPr="00A72BFC" w:rsidRDefault="00AE64C2" w:rsidP="00AE64C2">
      <w:pPr>
        <w:spacing w:before="60" w:after="60"/>
        <w:ind w:firstLine="720"/>
        <w:jc w:val="both"/>
        <w:rPr>
          <w:b/>
          <w:color w:val="auto"/>
          <w:szCs w:val="28"/>
        </w:rPr>
      </w:pPr>
      <w:r w:rsidRPr="00A72BFC">
        <w:rPr>
          <w:b/>
          <w:color w:val="auto"/>
          <w:szCs w:val="28"/>
        </w:rPr>
        <w:t>2. Tiếp nhận, phân loại và xử lý đơn thư khiếu nại, tố cáo</w:t>
      </w:r>
    </w:p>
    <w:p w:rsidR="00AE64C2" w:rsidRPr="00A72BFC" w:rsidRDefault="00AE64C2" w:rsidP="00AE64C2">
      <w:pPr>
        <w:spacing w:before="60" w:after="60"/>
        <w:ind w:firstLine="720"/>
        <w:jc w:val="both"/>
        <w:rPr>
          <w:b/>
          <w:color w:val="auto"/>
          <w:szCs w:val="28"/>
        </w:rPr>
      </w:pPr>
      <w:r w:rsidRPr="00A72BFC">
        <w:rPr>
          <w:b/>
          <w:color w:val="auto"/>
          <w:szCs w:val="28"/>
        </w:rPr>
        <w:t>2.1. Công tác tiếp nhận, xử lý</w:t>
      </w:r>
    </w:p>
    <w:p w:rsidR="00AE64C2" w:rsidRPr="00A72BFC" w:rsidRDefault="00AE64C2" w:rsidP="00AE64C2">
      <w:pPr>
        <w:spacing w:before="60" w:after="60"/>
        <w:ind w:firstLine="720"/>
        <w:jc w:val="both"/>
        <w:rPr>
          <w:color w:val="auto"/>
          <w:szCs w:val="28"/>
        </w:rPr>
      </w:pPr>
      <w:r w:rsidRPr="00A72BFC">
        <w:rPr>
          <w:color w:val="auto"/>
          <w:szCs w:val="28"/>
          <w:lang w:val="nl-NL"/>
        </w:rPr>
        <w:t xml:space="preserve">Tổng số đơn khiếu nại, tố cáo, kiến nghị </w:t>
      </w:r>
      <w:r w:rsidRPr="00A72BFC">
        <w:rPr>
          <w:color w:val="auto"/>
          <w:szCs w:val="28"/>
        </w:rPr>
        <w:t>đã tiếp nhận</w:t>
      </w:r>
      <w:r w:rsidRPr="00A72BFC">
        <w:rPr>
          <w:color w:val="auto"/>
          <w:szCs w:val="28"/>
          <w:lang w:val="nl-NL"/>
        </w:rPr>
        <w:t xml:space="preserve"> tại UBND huyện và UBND các xã, thị trấn t</w:t>
      </w:r>
      <w:r w:rsidRPr="00A72BFC">
        <w:rPr>
          <w:color w:val="auto"/>
          <w:szCs w:val="28"/>
        </w:rPr>
        <w:t>ính đến thời điểm 30/11/2016: 139 đơn.</w:t>
      </w:r>
    </w:p>
    <w:p w:rsidR="00AE64C2" w:rsidRPr="00A72BFC" w:rsidRDefault="00AE64C2" w:rsidP="00AE64C2">
      <w:pPr>
        <w:spacing w:before="60" w:after="60"/>
        <w:ind w:firstLine="720"/>
        <w:jc w:val="both"/>
        <w:rPr>
          <w:b/>
          <w:color w:val="auto"/>
          <w:szCs w:val="28"/>
        </w:rPr>
      </w:pPr>
      <w:r w:rsidRPr="00A72BFC">
        <w:rPr>
          <w:b/>
          <w:color w:val="auto"/>
          <w:szCs w:val="28"/>
        </w:rPr>
        <w:t>2.2. Về phân loại đơn</w:t>
      </w:r>
    </w:p>
    <w:p w:rsidR="00AE64C2" w:rsidRPr="00A72BFC" w:rsidRDefault="00AE64C2" w:rsidP="00AE64C2">
      <w:pPr>
        <w:spacing w:before="60" w:after="60"/>
        <w:ind w:firstLine="720"/>
        <w:jc w:val="both"/>
        <w:rPr>
          <w:color w:val="auto"/>
          <w:szCs w:val="28"/>
        </w:rPr>
      </w:pPr>
      <w:r w:rsidRPr="00A72BFC">
        <w:rPr>
          <w:color w:val="auto"/>
          <w:szCs w:val="28"/>
        </w:rPr>
        <w:t>Phân loại theo loại đơn: đơn tố cáo: 15 đơn; đơn khiếu nại: 13 đơn; kiến nghị: 111 đơn.</w:t>
      </w:r>
    </w:p>
    <w:p w:rsidR="00AE64C2" w:rsidRPr="00A72BFC" w:rsidRDefault="00AE64C2" w:rsidP="00AE64C2">
      <w:pPr>
        <w:spacing w:before="60" w:after="60"/>
        <w:ind w:firstLine="720"/>
        <w:jc w:val="both"/>
        <w:rPr>
          <w:color w:val="auto"/>
          <w:szCs w:val="28"/>
        </w:rPr>
      </w:pPr>
      <w:r w:rsidRPr="00A72BFC">
        <w:rPr>
          <w:color w:val="auto"/>
          <w:szCs w:val="28"/>
        </w:rPr>
        <w:t>Phân loại theo nội dung: Lĩnh vực Đất đai và bồi thường sau khi thu hồi đất: 56 đơn, chiếm tỷ lệ 40 %; Chính sách xã hội: 11 đơn, chiếm tỷ lệ 8 %; Lĩnh vực khác: 72 đơn chiếm tỷ lệ 52%.</w:t>
      </w:r>
    </w:p>
    <w:p w:rsidR="00AE64C2" w:rsidRPr="00A72BFC" w:rsidRDefault="00AE64C2" w:rsidP="00AE64C2">
      <w:pPr>
        <w:spacing w:before="60" w:after="60"/>
        <w:ind w:firstLine="720"/>
        <w:jc w:val="both"/>
        <w:rPr>
          <w:color w:val="auto"/>
          <w:szCs w:val="28"/>
        </w:rPr>
      </w:pPr>
      <w:r w:rsidRPr="00A72BFC">
        <w:rPr>
          <w:color w:val="auto"/>
          <w:szCs w:val="28"/>
        </w:rPr>
        <w:t xml:space="preserve">Phân loại theo thẩm quyền: Số đơn thuộc thẩm quyền giải quyết của UBND huyện, UBND các xã, thị trấn, cơ quan là: 117 đơn; số đơn này đã được Ủy ban nhân dân huyện, UBND các xã, thị trấn và các cơ quan chức năng tiến hành thụ lý </w:t>
      </w:r>
      <w:r w:rsidRPr="00A72BFC">
        <w:rPr>
          <w:color w:val="auto"/>
          <w:szCs w:val="28"/>
        </w:rPr>
        <w:lastRenderedPageBreak/>
        <w:t>giải quyết theo đúng quy định của pháp luật. Số đơn không thuộc thẩm quyền là: 22 đơn, số đơn này đã được chuyển đến cơ quan chức năng để được giải quyết theo quy định của pháp luật.</w:t>
      </w:r>
    </w:p>
    <w:p w:rsidR="00AE64C2" w:rsidRPr="00A72BFC" w:rsidRDefault="00AE64C2" w:rsidP="00AE64C2">
      <w:pPr>
        <w:spacing w:before="60" w:after="60"/>
        <w:ind w:firstLine="720"/>
        <w:jc w:val="both"/>
        <w:rPr>
          <w:b/>
          <w:color w:val="auto"/>
          <w:szCs w:val="28"/>
        </w:rPr>
      </w:pPr>
      <w:r w:rsidRPr="00A72BFC">
        <w:rPr>
          <w:b/>
          <w:color w:val="auto"/>
          <w:szCs w:val="28"/>
        </w:rPr>
        <w:t>2.3. Kết quả xử lý đơn thư khiếu nại, tố cáo, kiến nghị</w:t>
      </w:r>
    </w:p>
    <w:p w:rsidR="00AE64C2" w:rsidRPr="00A72BFC" w:rsidRDefault="00AE64C2" w:rsidP="00AE64C2">
      <w:pPr>
        <w:spacing w:before="60" w:after="60"/>
        <w:ind w:firstLine="720"/>
        <w:jc w:val="both"/>
        <w:rPr>
          <w:color w:val="auto"/>
          <w:szCs w:val="28"/>
        </w:rPr>
      </w:pPr>
      <w:r w:rsidRPr="00A72BFC">
        <w:rPr>
          <w:color w:val="auto"/>
          <w:szCs w:val="28"/>
        </w:rPr>
        <w:t>Số đơn thuộc thẩm quyền giải quyết của UBND huyện, UBND các xã, thị trấn, cơ quan là: 117 đơn</w:t>
      </w:r>
      <w:r w:rsidRPr="00A72BFC">
        <w:rPr>
          <w:color w:val="auto"/>
          <w:szCs w:val="28"/>
          <w:vertAlign w:val="superscript"/>
        </w:rPr>
        <w:t>(</w:t>
      </w:r>
      <w:r w:rsidRPr="00A72BFC">
        <w:rPr>
          <w:rStyle w:val="FootnoteReference"/>
          <w:color w:val="auto"/>
          <w:szCs w:val="28"/>
        </w:rPr>
        <w:footnoteReference w:id="5"/>
      </w:r>
      <w:r w:rsidRPr="00A72BFC">
        <w:rPr>
          <w:color w:val="auto"/>
          <w:szCs w:val="28"/>
          <w:vertAlign w:val="superscript"/>
        </w:rPr>
        <w:t>)</w:t>
      </w:r>
      <w:r w:rsidRPr="00A72BFC">
        <w:rPr>
          <w:color w:val="auto"/>
          <w:szCs w:val="28"/>
        </w:rPr>
        <w:t>, chiếm tỷ lệ</w:t>
      </w:r>
      <w:r w:rsidRPr="00A72BFC">
        <w:rPr>
          <w:b/>
          <w:color w:val="auto"/>
          <w:szCs w:val="28"/>
        </w:rPr>
        <w:t xml:space="preserve"> </w:t>
      </w:r>
      <w:r w:rsidRPr="00A72BFC">
        <w:rPr>
          <w:color w:val="auto"/>
          <w:szCs w:val="28"/>
        </w:rPr>
        <w:t xml:space="preserve">84%; số đơn này đã được Ủy ban nhân dân huyện, UBND các xã, thị trấn và các cơ quan chức năng tiến hành xem xét, thụ lý giải quyết theo đúng quy định của pháp luật. </w:t>
      </w:r>
    </w:p>
    <w:p w:rsidR="00AE64C2" w:rsidRPr="00A72BFC" w:rsidRDefault="00AE64C2" w:rsidP="00AE64C2">
      <w:pPr>
        <w:spacing w:before="60" w:after="60"/>
        <w:ind w:firstLine="720"/>
        <w:jc w:val="both"/>
        <w:rPr>
          <w:color w:val="auto"/>
          <w:szCs w:val="28"/>
        </w:rPr>
      </w:pPr>
      <w:r w:rsidRPr="00A72BFC">
        <w:rPr>
          <w:color w:val="auto"/>
          <w:szCs w:val="28"/>
        </w:rPr>
        <w:t>Số đơn không thuộc thẩm quyền là: 22 đơn</w:t>
      </w:r>
      <w:r w:rsidRPr="00A72BFC">
        <w:rPr>
          <w:color w:val="auto"/>
          <w:szCs w:val="28"/>
          <w:vertAlign w:val="superscript"/>
        </w:rPr>
        <w:t>(</w:t>
      </w:r>
      <w:r w:rsidRPr="00A72BFC">
        <w:rPr>
          <w:rStyle w:val="FootnoteReference"/>
          <w:color w:val="auto"/>
          <w:szCs w:val="28"/>
        </w:rPr>
        <w:footnoteReference w:id="6"/>
      </w:r>
      <w:r w:rsidRPr="00A72BFC">
        <w:rPr>
          <w:color w:val="auto"/>
          <w:szCs w:val="28"/>
          <w:vertAlign w:val="superscript"/>
        </w:rPr>
        <w:t>)</w:t>
      </w:r>
      <w:r w:rsidRPr="00A72BFC">
        <w:rPr>
          <w:color w:val="auto"/>
          <w:szCs w:val="28"/>
        </w:rPr>
        <w:t>, chiếm tỷ lệ</w:t>
      </w:r>
      <w:r w:rsidRPr="00A72BFC">
        <w:rPr>
          <w:b/>
          <w:color w:val="auto"/>
          <w:szCs w:val="28"/>
        </w:rPr>
        <w:t xml:space="preserve"> </w:t>
      </w:r>
      <w:r w:rsidRPr="00A72BFC">
        <w:rPr>
          <w:color w:val="auto"/>
          <w:szCs w:val="28"/>
        </w:rPr>
        <w:t>16%; số đơn này đã được chuyển đến cơ quan chức năng để được giải quyết theo quy định của pháp luật.</w:t>
      </w:r>
    </w:p>
    <w:p w:rsidR="00AE64C2" w:rsidRPr="00A72BFC" w:rsidRDefault="00AE64C2" w:rsidP="00AE64C2">
      <w:pPr>
        <w:spacing w:before="60" w:after="60"/>
        <w:ind w:firstLine="720"/>
        <w:jc w:val="both"/>
        <w:rPr>
          <w:b/>
          <w:color w:val="auto"/>
          <w:szCs w:val="28"/>
        </w:rPr>
      </w:pPr>
      <w:r w:rsidRPr="00A72BFC">
        <w:rPr>
          <w:b/>
          <w:color w:val="auto"/>
          <w:szCs w:val="28"/>
        </w:rPr>
        <w:t>3. Kết quả giải quyết đơn thư khiếu nại, tố cáo thuộc thẩm quyền</w:t>
      </w:r>
    </w:p>
    <w:p w:rsidR="00AE64C2" w:rsidRPr="00A72BFC" w:rsidRDefault="00AE64C2" w:rsidP="00AE64C2">
      <w:pPr>
        <w:spacing w:before="60" w:after="60"/>
        <w:ind w:firstLine="720"/>
        <w:jc w:val="both"/>
        <w:rPr>
          <w:b/>
          <w:color w:val="auto"/>
          <w:szCs w:val="28"/>
        </w:rPr>
      </w:pPr>
      <w:r w:rsidRPr="00A72BFC">
        <w:rPr>
          <w:b/>
          <w:color w:val="auto"/>
          <w:szCs w:val="28"/>
        </w:rPr>
        <w:t>3.1. Giải quyết đơn khiếu nại thuộc thẩm quyền</w:t>
      </w:r>
    </w:p>
    <w:p w:rsidR="00AE64C2" w:rsidRPr="00A72BFC" w:rsidRDefault="00AE64C2" w:rsidP="00AE64C2">
      <w:pPr>
        <w:spacing w:before="60" w:after="60"/>
        <w:ind w:firstLine="720"/>
        <w:jc w:val="both"/>
        <w:rPr>
          <w:color w:val="auto"/>
          <w:szCs w:val="28"/>
        </w:rPr>
      </w:pPr>
      <w:r w:rsidRPr="00A72BFC">
        <w:rPr>
          <w:color w:val="auto"/>
          <w:szCs w:val="28"/>
        </w:rPr>
        <w:t>Tổng số đơn khiếu nại nhận được: 13 đơn; số đơn thuộc thẩm quyền: 12 đơn; số đơn đã giải quyết: 10 đơn</w:t>
      </w:r>
      <w:r w:rsidRPr="00A72BFC">
        <w:rPr>
          <w:color w:val="auto"/>
          <w:szCs w:val="28"/>
          <w:vertAlign w:val="superscript"/>
        </w:rPr>
        <w:t>(</w:t>
      </w:r>
      <w:r w:rsidRPr="00A72BFC">
        <w:rPr>
          <w:rStyle w:val="FootnoteReference"/>
          <w:color w:val="auto"/>
          <w:szCs w:val="28"/>
        </w:rPr>
        <w:footnoteReference w:id="7"/>
      </w:r>
      <w:r w:rsidRPr="00A72BFC">
        <w:rPr>
          <w:color w:val="auto"/>
          <w:szCs w:val="28"/>
          <w:vertAlign w:val="superscript"/>
        </w:rPr>
        <w:t>)</w:t>
      </w:r>
      <w:r w:rsidRPr="00A72BFC">
        <w:rPr>
          <w:color w:val="auto"/>
          <w:szCs w:val="28"/>
        </w:rPr>
        <w:t>. Số vụ việc giải quyết lần 1: 10 đơn.</w:t>
      </w:r>
    </w:p>
    <w:p w:rsidR="00AE64C2" w:rsidRPr="00A72BFC" w:rsidRDefault="00AE64C2" w:rsidP="00AE64C2">
      <w:pPr>
        <w:spacing w:before="60" w:after="60"/>
        <w:ind w:firstLine="700"/>
        <w:jc w:val="both"/>
        <w:rPr>
          <w:i/>
          <w:color w:val="auto"/>
          <w:szCs w:val="28"/>
          <w:lang w:val="nl-NL"/>
        </w:rPr>
      </w:pPr>
      <w:r w:rsidRPr="00A72BFC">
        <w:rPr>
          <w:color w:val="auto"/>
          <w:szCs w:val="28"/>
          <w:lang w:val="nl-NL"/>
        </w:rPr>
        <w:t xml:space="preserve">Qua kết quả thẩm tra, xác minh đơn khiếu nại của công dân, đến nay Chủ tịch UBND huyện đã ban hành 03 Quyết định giải quyết khiếu nại </w:t>
      </w:r>
      <w:r w:rsidRPr="00A72BFC">
        <w:rPr>
          <w:i/>
          <w:color w:val="auto"/>
          <w:szCs w:val="28"/>
          <w:lang w:val="nl-NL"/>
        </w:rPr>
        <w:t>(lần đầu)</w:t>
      </w:r>
      <w:r w:rsidRPr="00A72BFC">
        <w:rPr>
          <w:color w:val="auto"/>
          <w:szCs w:val="28"/>
          <w:lang w:val="nl-NL"/>
        </w:rPr>
        <w:t xml:space="preserve"> đối với 03 vụ việc; ban hành Thông báo không thụ lý, giải quyết đối với 01 vụ việc; 01 vụ việc đang tiến hành xem xét giải quyết theo quy định; 05 vụ việc đã giải quyết thông qua giải thích, thuyết phục. Kết quả giải quyết khiếu nại lần đầu, Chủ tịch UBND huyện không công nhận khiếu nại </w:t>
      </w:r>
      <w:r w:rsidRPr="00A72BFC">
        <w:rPr>
          <w:i/>
          <w:color w:val="auto"/>
          <w:szCs w:val="28"/>
          <w:lang w:val="nl-NL"/>
        </w:rPr>
        <w:t>(lần đầu)</w:t>
      </w:r>
      <w:r w:rsidRPr="00A72BFC">
        <w:rPr>
          <w:color w:val="auto"/>
          <w:szCs w:val="28"/>
          <w:lang w:val="nl-NL"/>
        </w:rPr>
        <w:t xml:space="preserve"> và giữ nguyên quyết định giải quyết khiếu nại </w:t>
      </w:r>
      <w:r w:rsidRPr="00A72BFC">
        <w:rPr>
          <w:i/>
          <w:color w:val="auto"/>
          <w:szCs w:val="28"/>
          <w:lang w:val="nl-NL"/>
        </w:rPr>
        <w:t>(lần đầu)</w:t>
      </w:r>
      <w:r w:rsidRPr="00A72BFC">
        <w:rPr>
          <w:color w:val="auto"/>
          <w:szCs w:val="28"/>
          <w:lang w:val="nl-NL"/>
        </w:rPr>
        <w:t xml:space="preserve"> đối với 02 vụ việc khiếu nại của người dân; công nhận khiếu nại đúng một phần đối với 01 vụ việc khiếu nại. </w:t>
      </w:r>
    </w:p>
    <w:p w:rsidR="00AE64C2" w:rsidRPr="00A72BFC" w:rsidRDefault="00AE64C2" w:rsidP="00AE64C2">
      <w:pPr>
        <w:spacing w:before="60" w:after="60"/>
        <w:ind w:firstLine="720"/>
        <w:jc w:val="both"/>
        <w:rPr>
          <w:b/>
          <w:color w:val="auto"/>
          <w:szCs w:val="28"/>
        </w:rPr>
      </w:pPr>
      <w:r w:rsidRPr="00A72BFC">
        <w:rPr>
          <w:b/>
          <w:color w:val="auto"/>
          <w:szCs w:val="28"/>
        </w:rPr>
        <w:t>3.2. Giải quyết đơn tố cáo thuộc thẩm quyền</w:t>
      </w:r>
    </w:p>
    <w:p w:rsidR="00AE64C2" w:rsidRPr="00A72BFC" w:rsidRDefault="00AE64C2" w:rsidP="00AE64C2">
      <w:pPr>
        <w:spacing w:before="60" w:after="60"/>
        <w:ind w:firstLine="720"/>
        <w:jc w:val="both"/>
        <w:rPr>
          <w:color w:val="auto"/>
          <w:szCs w:val="28"/>
        </w:rPr>
      </w:pPr>
      <w:r w:rsidRPr="00A72BFC">
        <w:rPr>
          <w:color w:val="auto"/>
          <w:szCs w:val="28"/>
        </w:rPr>
        <w:t>Tổng số đơn tố cáo thuộc thẩm quyền nhận được: 12 đơn; số đơn đã giải quyết: 10 đơn, 02 đơn đang trong quá trình giải quyết.</w:t>
      </w:r>
    </w:p>
    <w:p w:rsidR="00AE64C2" w:rsidRPr="00A72BFC" w:rsidRDefault="00AE64C2" w:rsidP="00AE64C2">
      <w:pPr>
        <w:spacing w:before="60" w:after="60"/>
        <w:ind w:firstLine="720"/>
        <w:jc w:val="both"/>
        <w:rPr>
          <w:color w:val="auto"/>
          <w:szCs w:val="28"/>
        </w:rPr>
      </w:pPr>
      <w:r w:rsidRPr="00A72BFC">
        <w:rPr>
          <w:color w:val="auto"/>
          <w:szCs w:val="28"/>
        </w:rPr>
        <w:t>Kết quả giải quyết: Số vụ tố cáo đúng: 0 vụ việc, số vụ tố cáo sai 10 vụ việc.</w:t>
      </w:r>
    </w:p>
    <w:p w:rsidR="00AE64C2" w:rsidRPr="00A72BFC" w:rsidRDefault="00AE64C2" w:rsidP="00AE64C2">
      <w:pPr>
        <w:spacing w:before="60" w:after="60"/>
        <w:ind w:firstLine="720"/>
        <w:jc w:val="both"/>
        <w:rPr>
          <w:b/>
          <w:color w:val="auto"/>
          <w:szCs w:val="28"/>
        </w:rPr>
      </w:pPr>
      <w:r w:rsidRPr="00A72BFC">
        <w:rPr>
          <w:b/>
          <w:color w:val="auto"/>
          <w:szCs w:val="28"/>
        </w:rPr>
        <w:t>4. Kết quả thanh tra, kiểm tra trách nhiệm thực hiện pháp luật về khiếu nại, tố cáo và tiếp công dân</w:t>
      </w:r>
    </w:p>
    <w:p w:rsidR="00AE64C2" w:rsidRPr="00A72BFC" w:rsidRDefault="00AE64C2" w:rsidP="00AE64C2">
      <w:pPr>
        <w:spacing w:before="60" w:after="60"/>
        <w:ind w:firstLine="720"/>
        <w:jc w:val="both"/>
        <w:rPr>
          <w:b/>
          <w:color w:val="auto"/>
          <w:szCs w:val="28"/>
        </w:rPr>
      </w:pPr>
      <w:r w:rsidRPr="00A72BFC">
        <w:rPr>
          <w:b/>
          <w:color w:val="auto"/>
          <w:szCs w:val="28"/>
        </w:rPr>
        <w:t>4.1. Việc triển khai các cuộc thanh tra</w:t>
      </w:r>
    </w:p>
    <w:p w:rsidR="00AE64C2" w:rsidRPr="00A72BFC" w:rsidRDefault="00AE64C2" w:rsidP="00AE64C2">
      <w:pPr>
        <w:spacing w:before="60" w:after="60"/>
        <w:ind w:firstLine="720"/>
        <w:jc w:val="both"/>
        <w:rPr>
          <w:color w:val="auto"/>
          <w:szCs w:val="28"/>
        </w:rPr>
      </w:pPr>
      <w:r w:rsidRPr="00A72BFC">
        <w:rPr>
          <w:color w:val="auto"/>
          <w:szCs w:val="28"/>
        </w:rPr>
        <w:t xml:space="preserve">Tổng số cuộc thanh tra, kiểm tra: 02 cuộc; số đơn vị được thanh tra, kiểm tra: 02 đơn vị </w:t>
      </w:r>
      <w:r w:rsidRPr="00A72BFC">
        <w:rPr>
          <w:i/>
          <w:color w:val="auto"/>
          <w:szCs w:val="28"/>
        </w:rPr>
        <w:t>(Phòng Nội vụ và UBND thị trấn Sa Thầy).</w:t>
      </w:r>
    </w:p>
    <w:p w:rsidR="00AE64C2" w:rsidRPr="00A72BFC" w:rsidRDefault="00AE64C2" w:rsidP="00AE64C2">
      <w:pPr>
        <w:spacing w:before="60" w:after="60"/>
        <w:ind w:firstLine="720"/>
        <w:jc w:val="both"/>
        <w:rPr>
          <w:color w:val="auto"/>
          <w:szCs w:val="28"/>
        </w:rPr>
      </w:pPr>
      <w:r w:rsidRPr="00A72BFC">
        <w:rPr>
          <w:color w:val="auto"/>
          <w:szCs w:val="28"/>
        </w:rPr>
        <w:t>Tổng số cuộc kết thúc thanh tra, kiểm tra, đã ban hành kết luận: 02 cuộc.</w:t>
      </w:r>
    </w:p>
    <w:p w:rsidR="00AE64C2" w:rsidRPr="00A72BFC" w:rsidRDefault="00AE64C2" w:rsidP="00AE64C2">
      <w:pPr>
        <w:spacing w:before="60" w:after="60"/>
        <w:ind w:firstLine="720"/>
        <w:jc w:val="both"/>
        <w:rPr>
          <w:b/>
          <w:color w:val="auto"/>
          <w:szCs w:val="28"/>
        </w:rPr>
      </w:pPr>
      <w:r w:rsidRPr="00A72BFC">
        <w:rPr>
          <w:b/>
          <w:color w:val="auto"/>
          <w:szCs w:val="28"/>
        </w:rPr>
        <w:t>4.2. Kết quả thanh tra</w:t>
      </w:r>
    </w:p>
    <w:p w:rsidR="00AE64C2" w:rsidRPr="00A72BFC" w:rsidRDefault="00AE64C2" w:rsidP="00AE64C2">
      <w:pPr>
        <w:spacing w:before="60" w:after="60"/>
        <w:ind w:firstLine="720"/>
        <w:jc w:val="both"/>
        <w:rPr>
          <w:color w:val="auto"/>
          <w:szCs w:val="28"/>
        </w:rPr>
      </w:pPr>
      <w:r w:rsidRPr="00A72BFC">
        <w:rPr>
          <w:color w:val="auto"/>
          <w:szCs w:val="28"/>
        </w:rPr>
        <w:t>Số đơn vị vi phạm: 02 đơn vị.</w:t>
      </w:r>
    </w:p>
    <w:p w:rsidR="00AE64C2" w:rsidRPr="00A72BFC" w:rsidRDefault="00AE64C2" w:rsidP="00AE64C2">
      <w:pPr>
        <w:spacing w:before="60" w:after="60"/>
        <w:ind w:firstLine="720"/>
        <w:jc w:val="both"/>
        <w:rPr>
          <w:color w:val="auto"/>
          <w:szCs w:val="28"/>
        </w:rPr>
      </w:pPr>
      <w:r w:rsidRPr="00A72BFC">
        <w:rPr>
          <w:color w:val="auto"/>
          <w:szCs w:val="28"/>
        </w:rPr>
        <w:t xml:space="preserve">Những vi phạm chủ yếu phát hiện qua thanh tra kiểm tra: Chưa xây dựng được kế hoạch tuyên truyền pháp luật về khiếu nại, tố cáo; chế độ thông tin báo cáo định kỳ, báo cáo đột xuất về công tác giải quyết khiếu nại, tố cáo thực hiện </w:t>
      </w:r>
      <w:r w:rsidRPr="00A72BFC">
        <w:rPr>
          <w:color w:val="auto"/>
          <w:szCs w:val="28"/>
        </w:rPr>
        <w:lastRenderedPageBreak/>
        <w:t>chưa thường xuyên, chất lượng báo cáo chưa đảm bảo theo yêu cầu; việc tổ chức thực hiện và kết quả thực hiện các văn bản hướng dẫn thi hành pháp luật về khiếu nại, tố cáo chưa được nâng cao để đáp ứng nhu cầu xử lý công tác theo quy định; chưa bố trí được kinh phí hỗ trợ, bồi dưỡng cho cán bộ tiếp công dân theo Thông tư số 46/2012/TTLT-BTC-TTCP, ngày 16/3/2012 của Bộ Tài chính - Thanh tra Chính phủ.</w:t>
      </w:r>
    </w:p>
    <w:p w:rsidR="00AE64C2" w:rsidRPr="00A72BFC" w:rsidRDefault="00AE64C2" w:rsidP="00AE64C2">
      <w:pPr>
        <w:spacing w:before="60" w:after="60"/>
        <w:ind w:firstLine="720"/>
        <w:jc w:val="both"/>
        <w:rPr>
          <w:color w:val="auto"/>
          <w:szCs w:val="28"/>
        </w:rPr>
      </w:pPr>
      <w:r w:rsidRPr="00A72BFC">
        <w:rPr>
          <w:color w:val="auto"/>
          <w:szCs w:val="28"/>
        </w:rPr>
        <w:t>Kiến nghị: Kiểm điểm rút kinh nghiệm đối với tập thể và cá nhân liên quan.</w:t>
      </w:r>
    </w:p>
    <w:p w:rsidR="00AE64C2" w:rsidRPr="00A72BFC" w:rsidRDefault="00AE64C2" w:rsidP="00AE64C2">
      <w:pPr>
        <w:spacing w:before="60" w:after="60"/>
        <w:ind w:firstLine="720"/>
        <w:jc w:val="both"/>
        <w:rPr>
          <w:color w:val="auto"/>
          <w:szCs w:val="28"/>
        </w:rPr>
      </w:pPr>
      <w:r w:rsidRPr="00A72BFC">
        <w:rPr>
          <w:color w:val="auto"/>
          <w:szCs w:val="28"/>
        </w:rPr>
        <w:t>Kết quả thực hiện các kiến nghị: Các cá nhân và tập thể đã chấp hành nghiêm chỉnh các kiến nghị được đưa ra trong phần kết luận thanh tra.</w:t>
      </w:r>
    </w:p>
    <w:p w:rsidR="00AE64C2" w:rsidRPr="00A72BFC" w:rsidRDefault="00AE64C2" w:rsidP="00AE64C2">
      <w:pPr>
        <w:spacing w:before="60" w:after="60"/>
        <w:ind w:firstLine="720"/>
        <w:jc w:val="both"/>
        <w:rPr>
          <w:b/>
          <w:color w:val="auto"/>
          <w:szCs w:val="28"/>
        </w:rPr>
      </w:pPr>
      <w:r w:rsidRPr="00A72BFC">
        <w:rPr>
          <w:b/>
          <w:color w:val="auto"/>
          <w:szCs w:val="28"/>
        </w:rPr>
        <w:t>5. Kết quả xây dựng, hoàn thiện thể chế và tuyên truyền, phổ biến pháp luật về khiếu nại tố cáo và tiếp công dân</w:t>
      </w:r>
    </w:p>
    <w:p w:rsidR="00AE64C2" w:rsidRPr="00A72BFC" w:rsidRDefault="00AE64C2" w:rsidP="00AE64C2">
      <w:pPr>
        <w:spacing w:before="60" w:after="60"/>
        <w:ind w:firstLine="720"/>
        <w:jc w:val="both"/>
        <w:rPr>
          <w:color w:val="auto"/>
          <w:szCs w:val="28"/>
        </w:rPr>
      </w:pPr>
      <w:r w:rsidRPr="00A72BFC">
        <w:rPr>
          <w:color w:val="auto"/>
          <w:szCs w:val="28"/>
        </w:rPr>
        <w:t>Trong năm 2016, UBND huyện đã ban hành văn bản chỉ đạo về công tác tiếp công dân, xử lý đơn thư khiếu nại, tố cáo</w:t>
      </w:r>
      <w:r w:rsidRPr="00A72BFC">
        <w:rPr>
          <w:color w:val="auto"/>
          <w:szCs w:val="28"/>
          <w:vertAlign w:val="superscript"/>
        </w:rPr>
        <w:t>(</w:t>
      </w:r>
      <w:r w:rsidRPr="00A72BFC">
        <w:rPr>
          <w:rStyle w:val="FootnoteReference"/>
          <w:color w:val="auto"/>
          <w:szCs w:val="28"/>
        </w:rPr>
        <w:footnoteReference w:id="8"/>
      </w:r>
      <w:r w:rsidRPr="00A72BFC">
        <w:rPr>
          <w:color w:val="auto"/>
          <w:szCs w:val="28"/>
          <w:vertAlign w:val="superscript"/>
        </w:rPr>
        <w:t>)</w:t>
      </w:r>
      <w:r w:rsidRPr="00A72BFC">
        <w:rPr>
          <w:color w:val="auto"/>
          <w:szCs w:val="28"/>
        </w:rPr>
        <w:t>. Mở được 06 lớp tuyên truyền, giáo dục pháp luật cho cán bộ, công chức, viên chức cấp huyện và cấp xã với 815 lượt người tham gia, qua đó các cơ quan, đơn vị; các xã, thị trấn triển khai đến cán bộ công chức, viên chức và các tầng lớp nhân dân.</w:t>
      </w:r>
    </w:p>
    <w:p w:rsidR="00AE64C2" w:rsidRPr="00A72BFC" w:rsidRDefault="00AE64C2" w:rsidP="00AE64C2">
      <w:pPr>
        <w:spacing w:before="60" w:after="60"/>
        <w:ind w:firstLine="720"/>
        <w:jc w:val="both"/>
        <w:rPr>
          <w:b/>
          <w:color w:val="auto"/>
          <w:szCs w:val="28"/>
        </w:rPr>
      </w:pPr>
      <w:r w:rsidRPr="00A72BFC">
        <w:rPr>
          <w:b/>
          <w:color w:val="auto"/>
          <w:szCs w:val="28"/>
        </w:rPr>
        <w:t>III. ĐÁNH GIÁ VÀ DỰ BÁO TÌNH HÌNH</w:t>
      </w:r>
    </w:p>
    <w:p w:rsidR="00AE64C2" w:rsidRPr="00A72BFC" w:rsidRDefault="00AE64C2" w:rsidP="00AE64C2">
      <w:pPr>
        <w:spacing w:before="60" w:after="60"/>
        <w:ind w:firstLine="720"/>
        <w:jc w:val="both"/>
        <w:rPr>
          <w:b/>
          <w:color w:val="auto"/>
          <w:szCs w:val="28"/>
        </w:rPr>
      </w:pPr>
      <w:r w:rsidRPr="00A72BFC">
        <w:rPr>
          <w:b/>
          <w:color w:val="auto"/>
          <w:szCs w:val="28"/>
        </w:rPr>
        <w:t>1. Đánh giá</w:t>
      </w:r>
    </w:p>
    <w:p w:rsidR="00AE64C2" w:rsidRPr="00A72BFC" w:rsidRDefault="00AE64C2" w:rsidP="00AE64C2">
      <w:pPr>
        <w:spacing w:before="60" w:after="60"/>
        <w:ind w:firstLine="720"/>
        <w:jc w:val="both"/>
        <w:rPr>
          <w:b/>
          <w:color w:val="auto"/>
          <w:szCs w:val="28"/>
        </w:rPr>
      </w:pPr>
      <w:r w:rsidRPr="00A72BFC">
        <w:rPr>
          <w:b/>
          <w:color w:val="auto"/>
          <w:szCs w:val="28"/>
        </w:rPr>
        <w:t xml:space="preserve">1.1. Về nguyên nhân dẫn đến tình trạng khiếu nại, tố cáo </w:t>
      </w:r>
    </w:p>
    <w:p w:rsidR="00AE64C2" w:rsidRPr="00A72BFC" w:rsidRDefault="00AE64C2" w:rsidP="00AE64C2">
      <w:pPr>
        <w:spacing w:before="60" w:after="60"/>
        <w:ind w:firstLine="720"/>
        <w:jc w:val="both"/>
        <w:rPr>
          <w:color w:val="auto"/>
          <w:szCs w:val="28"/>
        </w:rPr>
      </w:pPr>
      <w:r w:rsidRPr="00A72BFC">
        <w:rPr>
          <w:color w:val="auto"/>
          <w:szCs w:val="28"/>
        </w:rPr>
        <w:t>Công tác tuyên truyền các chủ trương, chính sách pháp luật của Đảng và Nhà nước nói chung, về tiếp công dân, giải quyết đơn thư khiếu nại, tố cáo của công dân nói riêng chưa được thực hiện một cách tích cực, thường xuyên liên tục, chưa đạt được kết quả cao.</w:t>
      </w:r>
    </w:p>
    <w:p w:rsidR="00AE64C2" w:rsidRPr="00A72BFC" w:rsidRDefault="00AE64C2" w:rsidP="00AE64C2">
      <w:pPr>
        <w:spacing w:before="60" w:after="60"/>
        <w:ind w:firstLine="720"/>
        <w:jc w:val="both"/>
        <w:rPr>
          <w:color w:val="auto"/>
          <w:szCs w:val="28"/>
        </w:rPr>
      </w:pPr>
      <w:r w:rsidRPr="00A72BFC">
        <w:rPr>
          <w:color w:val="auto"/>
          <w:szCs w:val="28"/>
        </w:rPr>
        <w:t>Nhận thức của của người dân về chính sách, pháp luật còn nhiều hạn chế, một số trường hợp người dân mặc dù hiểu rõ các quy định của pháp luật, song cố tình không chấp hành quyết định đã giải quyết đúng pháp luật.</w:t>
      </w:r>
    </w:p>
    <w:p w:rsidR="00AE64C2" w:rsidRPr="00A72BFC" w:rsidRDefault="00AE64C2" w:rsidP="00AE64C2">
      <w:pPr>
        <w:spacing w:before="60" w:after="60"/>
        <w:ind w:firstLine="720"/>
        <w:jc w:val="both"/>
        <w:rPr>
          <w:color w:val="auto"/>
          <w:szCs w:val="28"/>
        </w:rPr>
      </w:pPr>
      <w:r w:rsidRPr="00A72BFC">
        <w:rPr>
          <w:color w:val="auto"/>
          <w:szCs w:val="28"/>
        </w:rPr>
        <w:t>Đội ngũ công chức phục vụ cho công tác giải quyết khiếu nại, tố cáo chưa được tập huấn nghiệp vụ thường xuyên, chưa có nhiều kinh nghiệm; khối lượng công việc tương đối nhiều.</w:t>
      </w:r>
    </w:p>
    <w:p w:rsidR="00AE64C2" w:rsidRPr="00A72BFC" w:rsidRDefault="00AE64C2" w:rsidP="00AE64C2">
      <w:pPr>
        <w:spacing w:before="60" w:after="60"/>
        <w:ind w:firstLine="720"/>
        <w:jc w:val="both"/>
        <w:rPr>
          <w:b/>
          <w:color w:val="auto"/>
          <w:szCs w:val="28"/>
        </w:rPr>
      </w:pPr>
      <w:r w:rsidRPr="00A72BFC">
        <w:rPr>
          <w:b/>
          <w:color w:val="auto"/>
          <w:szCs w:val="28"/>
        </w:rPr>
        <w:t>1.2. Đánh giá ưu điểm, tồn tại, hạn chế, khuyết điểm trong thực hiện nhiệm vụ tiếp công dân xử lý đơn thư khiếu nại, tố cáo</w:t>
      </w:r>
    </w:p>
    <w:p w:rsidR="00AE64C2" w:rsidRPr="00A72BFC" w:rsidRDefault="00AE64C2" w:rsidP="00AE64C2">
      <w:pPr>
        <w:spacing w:before="60" w:after="60"/>
        <w:ind w:firstLine="720"/>
        <w:jc w:val="both"/>
        <w:rPr>
          <w:color w:val="auto"/>
          <w:szCs w:val="28"/>
        </w:rPr>
      </w:pPr>
      <w:r w:rsidRPr="00A72BFC">
        <w:rPr>
          <w:color w:val="auto"/>
          <w:szCs w:val="28"/>
        </w:rPr>
        <w:t xml:space="preserve">- Về ưu điểm: </w:t>
      </w:r>
    </w:p>
    <w:p w:rsidR="00AE64C2" w:rsidRPr="00A72BFC" w:rsidRDefault="00AE64C2" w:rsidP="00AE64C2">
      <w:pPr>
        <w:spacing w:before="60" w:after="60"/>
        <w:ind w:firstLine="720"/>
        <w:jc w:val="both"/>
        <w:rPr>
          <w:color w:val="auto"/>
          <w:szCs w:val="28"/>
        </w:rPr>
      </w:pPr>
      <w:r w:rsidRPr="00A72BFC">
        <w:rPr>
          <w:color w:val="auto"/>
          <w:szCs w:val="28"/>
        </w:rPr>
        <w:t xml:space="preserve">Ủy ban nhân dân huyện đã bám sát sự chỉ đạo của UBND tỉnh, Thanh tra tỉnh, Ban Thường vụ Huyện ủy về việc triển khai và tổ chức thi hành Luật Khiếu nại, Luật Tố cáo, ban hành kịp thời các văn bản chỉ đạo tăng cường công tác tiếp công dân, công tác giải quyết khiếu nại, tố cáo trên địa bàn huyện, góp phần giải </w:t>
      </w:r>
      <w:r w:rsidRPr="00A72BFC">
        <w:rPr>
          <w:color w:val="auto"/>
          <w:szCs w:val="28"/>
        </w:rPr>
        <w:lastRenderedPageBreak/>
        <w:t>quyết kịp thời những bức xúc của nhân dân, hạn chế được tình trạng đơn thư vượt cấp, tồn đọng, kéo dài.</w:t>
      </w:r>
    </w:p>
    <w:p w:rsidR="00AE64C2" w:rsidRPr="00A72BFC" w:rsidRDefault="00AE64C2" w:rsidP="00AE64C2">
      <w:pPr>
        <w:spacing w:before="60" w:after="60"/>
        <w:ind w:firstLine="720"/>
        <w:jc w:val="both"/>
        <w:rPr>
          <w:color w:val="auto"/>
          <w:szCs w:val="28"/>
        </w:rPr>
      </w:pPr>
      <w:r w:rsidRPr="00A72BFC">
        <w:rPr>
          <w:color w:val="auto"/>
          <w:szCs w:val="28"/>
        </w:rPr>
        <w:t xml:space="preserve"> Trong quá trình giải quyết đơn thư khiếu nại, tố cáo đã thực hiện đúng quy trình, quy định của Luật Khiếu nại, Luật tố cáo và các văn bản hướng dẫn thi hành.</w:t>
      </w:r>
    </w:p>
    <w:p w:rsidR="00AE64C2" w:rsidRPr="00A72BFC" w:rsidRDefault="00AE64C2" w:rsidP="00AE64C2">
      <w:pPr>
        <w:spacing w:before="60" w:after="60"/>
        <w:ind w:firstLine="720"/>
        <w:jc w:val="both"/>
        <w:rPr>
          <w:color w:val="auto"/>
          <w:szCs w:val="28"/>
        </w:rPr>
      </w:pPr>
      <w:r w:rsidRPr="00A72BFC">
        <w:rPr>
          <w:color w:val="auto"/>
          <w:szCs w:val="28"/>
        </w:rPr>
        <w:t xml:space="preserve"> Tại các cơ quan, đơn vị, UBND các xã, thị trấn đã thực hiện nghiêm túc các văn bản chỉ đạo của cấp trên liên quan đến công tác thi hành Luật khiếu nại, Luật Tố cáo, cơ bản thực hiện đúng quy trình giải quyết đơn thư khiếu nại, tố cáo; kết hợp việc tuyên truyền, tập huấn để nâng cao hiểu biết pháp luật về khiếu nại, tố cáo trong cán bộ và quần chúng nhân dân.</w:t>
      </w:r>
    </w:p>
    <w:p w:rsidR="00AE64C2" w:rsidRPr="00A72BFC" w:rsidRDefault="00AE64C2" w:rsidP="00AE64C2">
      <w:pPr>
        <w:spacing w:before="60" w:after="60"/>
        <w:ind w:firstLine="720"/>
        <w:jc w:val="both"/>
        <w:rPr>
          <w:color w:val="auto"/>
          <w:szCs w:val="28"/>
        </w:rPr>
      </w:pPr>
      <w:r w:rsidRPr="00A72BFC">
        <w:rPr>
          <w:color w:val="auto"/>
          <w:szCs w:val="28"/>
        </w:rPr>
        <w:t>- Tồn tại, hạn chế:</w:t>
      </w:r>
    </w:p>
    <w:p w:rsidR="00AE64C2" w:rsidRPr="00A72BFC" w:rsidRDefault="00AE64C2" w:rsidP="00AE64C2">
      <w:pPr>
        <w:spacing w:before="60" w:after="60"/>
        <w:ind w:firstLine="720"/>
        <w:jc w:val="both"/>
        <w:rPr>
          <w:color w:val="auto"/>
          <w:szCs w:val="28"/>
        </w:rPr>
      </w:pPr>
      <w:r w:rsidRPr="00A72BFC">
        <w:rPr>
          <w:color w:val="auto"/>
          <w:szCs w:val="28"/>
        </w:rPr>
        <w:t>Công tác tuyên truyền pháp luật về khiếu nại, tố cáo tuy đã đạt được những kết quả bước đầu khả quan nhưng chủ yếu vẫn nặng về hình thức tuyên truyền miệng thông qua báo cáo viên nên chưa thật sự thu hút được đông đảo người dân quan tâm lắng nghe.</w:t>
      </w:r>
    </w:p>
    <w:p w:rsidR="00AE64C2" w:rsidRPr="00A72BFC" w:rsidRDefault="00AE64C2" w:rsidP="00AE64C2">
      <w:pPr>
        <w:spacing w:before="60" w:after="60"/>
        <w:ind w:firstLine="720"/>
        <w:jc w:val="both"/>
        <w:rPr>
          <w:color w:val="auto"/>
          <w:szCs w:val="28"/>
        </w:rPr>
      </w:pPr>
      <w:r w:rsidRPr="00A72BFC">
        <w:rPr>
          <w:color w:val="auto"/>
          <w:szCs w:val="28"/>
        </w:rPr>
        <w:t>Tình hình khiếu nại kéo dài vẫn còn tồn tại do một số công dân không chấp hành quyết định giải quyết của các cơ quan có thẩm quyền.</w:t>
      </w:r>
    </w:p>
    <w:p w:rsidR="00AE64C2" w:rsidRPr="00A72BFC" w:rsidRDefault="00AE64C2" w:rsidP="00AE64C2">
      <w:pPr>
        <w:spacing w:before="60" w:after="60"/>
        <w:ind w:firstLine="720"/>
        <w:jc w:val="both"/>
        <w:rPr>
          <w:color w:val="auto"/>
          <w:szCs w:val="28"/>
          <w:lang w:val="it-IT"/>
        </w:rPr>
      </w:pPr>
      <w:r w:rsidRPr="00A72BFC">
        <w:rPr>
          <w:color w:val="auto"/>
          <w:szCs w:val="28"/>
          <w:lang w:val="it-IT"/>
        </w:rPr>
        <w:t>Đội ngũ cán bộ, công chức làm công tác tiếp công dân, xử lý, tham mưu giải quyết đơn thư khiếu nại, tố cáo tại một số đơn vị, địa phương còn hạn chế về trình độ, chuyên môn, nhất là ở cấp cơ sở làm ảnh hưởng đến chất lượng, hiệu quả công tác tiếp công dân, giải quyết khiếu nại, tố cáo của công dân.</w:t>
      </w:r>
    </w:p>
    <w:p w:rsidR="00AE64C2" w:rsidRPr="00A72BFC" w:rsidRDefault="00AE64C2" w:rsidP="00AE64C2">
      <w:pPr>
        <w:spacing w:before="60" w:after="60"/>
        <w:ind w:firstLine="720"/>
        <w:jc w:val="both"/>
        <w:rPr>
          <w:b/>
          <w:color w:val="auto"/>
          <w:szCs w:val="28"/>
        </w:rPr>
      </w:pPr>
      <w:r w:rsidRPr="00A72BFC">
        <w:rPr>
          <w:b/>
          <w:color w:val="auto"/>
          <w:szCs w:val="28"/>
        </w:rPr>
        <w:t>1.3. Đánh giá ưu điểm, tồn tại, hạn chế, khuyết điểm trong việc chỉ đạo, điều hành, thực hiện chức năng quản lý nhà nước về công tác giải quyết khiếu nại, tố cáo và tiếp công dân</w:t>
      </w:r>
    </w:p>
    <w:p w:rsidR="00AE64C2" w:rsidRPr="00A72BFC" w:rsidRDefault="00AE64C2" w:rsidP="00AE64C2">
      <w:pPr>
        <w:spacing w:before="60" w:after="60"/>
        <w:ind w:firstLine="720"/>
        <w:jc w:val="both"/>
        <w:rPr>
          <w:color w:val="auto"/>
          <w:szCs w:val="28"/>
        </w:rPr>
      </w:pPr>
      <w:r w:rsidRPr="00A72BFC">
        <w:rPr>
          <w:i/>
          <w:color w:val="auto"/>
          <w:szCs w:val="28"/>
        </w:rPr>
        <w:t>Ưu điểm:</w:t>
      </w:r>
      <w:r w:rsidRPr="00A72BFC">
        <w:rPr>
          <w:color w:val="auto"/>
          <w:szCs w:val="28"/>
        </w:rPr>
        <w:t xml:space="preserve"> UBND huyện đã chỉ đạo, xây dựng kế hoạch tuyên truyền, phổ biến, giáo dục pháp luật về khiếu nại, tố cáo cho cán bộ, công chức và nhân dân trên địa bàn. Bên cạnh đó, UBND huyện đã chỉ đạo Thanh tra huyện hằng năm lập kế hoạch và tiến hành thanh tra trách nhiệm thực hiện pháp luật về khiếu nại, tố cáo đối với các cơ quan, đơn vị, các xã, thị trấn trên địa bàn huyện. </w:t>
      </w:r>
    </w:p>
    <w:p w:rsidR="00AE64C2" w:rsidRPr="00A72BFC" w:rsidRDefault="00AE64C2" w:rsidP="00AE64C2">
      <w:pPr>
        <w:spacing w:before="60" w:after="60"/>
        <w:ind w:firstLine="720"/>
        <w:jc w:val="both"/>
        <w:rPr>
          <w:color w:val="auto"/>
          <w:szCs w:val="28"/>
        </w:rPr>
      </w:pPr>
      <w:r w:rsidRPr="00A72BFC">
        <w:rPr>
          <w:color w:val="auto"/>
          <w:szCs w:val="28"/>
        </w:rPr>
        <w:t xml:space="preserve">Nhận định rõ công tác tiếp công dân, xử lý đơn thư và giải quyết khiếu nại tố cáo là một nhiệm vụ quan trọng nhằm đảm bảo quyền và lợi ích chính đáng cho các tổ chức và cá nhân, đảm bảo việc ổn định an ninh chính trị, trật tự an toàn xã hội tại địa phương, UBND huyện luôn quan tâm đến công tác tổ chức xây dựng lực lượng, đào tạo, bồi dưỡng, đội ngũ cán bộ nhằm nâng cao hiệu quả công tác tiếp dân, xử lý đơn thư, giải quyết khiếu nại, tố cáo. </w:t>
      </w:r>
    </w:p>
    <w:p w:rsidR="00AE64C2" w:rsidRPr="00A72BFC" w:rsidRDefault="00AE64C2" w:rsidP="00AE64C2">
      <w:pPr>
        <w:spacing w:before="60" w:after="60"/>
        <w:ind w:firstLine="720"/>
        <w:jc w:val="both"/>
        <w:rPr>
          <w:color w:val="auto"/>
          <w:szCs w:val="28"/>
        </w:rPr>
      </w:pPr>
      <w:r w:rsidRPr="00A72BFC">
        <w:rPr>
          <w:i/>
          <w:color w:val="auto"/>
          <w:szCs w:val="28"/>
        </w:rPr>
        <w:t>Hạn chế:</w:t>
      </w:r>
      <w:r w:rsidRPr="00A72BFC">
        <w:rPr>
          <w:color w:val="auto"/>
          <w:szCs w:val="28"/>
        </w:rPr>
        <w:t xml:space="preserve"> Sự phối hợp của các cấp, các ngành trong công tác tuyên truyền, giáo dục pháp luật về khiếu nại, tố cáo chưa được chặt chẽ; công tác chỉ đạo, điều hành tại một số xã còn chưa được kịp thời.</w:t>
      </w:r>
    </w:p>
    <w:p w:rsidR="00AE64C2" w:rsidRPr="00A72BFC" w:rsidRDefault="00AE64C2" w:rsidP="00AE64C2">
      <w:pPr>
        <w:spacing w:before="60" w:after="60"/>
        <w:ind w:firstLine="720"/>
        <w:jc w:val="both"/>
        <w:rPr>
          <w:b/>
          <w:color w:val="auto"/>
          <w:szCs w:val="28"/>
        </w:rPr>
      </w:pPr>
      <w:r w:rsidRPr="00A72BFC">
        <w:rPr>
          <w:b/>
          <w:color w:val="auto"/>
          <w:szCs w:val="28"/>
        </w:rPr>
        <w:t xml:space="preserve">1.4. Đánh giá vai trò của cơ quan thanh tra trong công tác giải quyết khiếu nại tố cáo </w:t>
      </w:r>
    </w:p>
    <w:p w:rsidR="00AE64C2" w:rsidRPr="00A72BFC" w:rsidRDefault="00AE64C2" w:rsidP="00AE64C2">
      <w:pPr>
        <w:spacing w:before="60" w:after="60"/>
        <w:ind w:firstLine="720"/>
        <w:jc w:val="both"/>
        <w:rPr>
          <w:color w:val="auto"/>
          <w:szCs w:val="28"/>
        </w:rPr>
      </w:pPr>
      <w:r w:rsidRPr="00A72BFC">
        <w:rPr>
          <w:color w:val="auto"/>
          <w:szCs w:val="28"/>
        </w:rPr>
        <w:t xml:space="preserve">Với vai trò tham mưu cho UBND huyện trong công tác Quản lý nhà nước về giải quyết khiếu nại, tố cáo, trên cơ sở các quy định của pháp luật, cơ quan thanh tra huyện đã bố trí cán bộ trực tiếp công dân thường xuyên tại cơ quan thanh tra, tham gia trực tiếp dân theo định kỳ tại Trụ sở tiếp công dân của UBND huyện. </w:t>
      </w:r>
      <w:r w:rsidRPr="00A72BFC">
        <w:rPr>
          <w:color w:val="auto"/>
          <w:szCs w:val="28"/>
        </w:rPr>
        <w:lastRenderedPageBreak/>
        <w:t>Tiến hành kiểm tra, xác minh, tham mưu giải quyết một số đơn thư khiếu nại, tố cáo khi được UBND huyện giao; phối hợp giải quyết đơn khiếu nại, tố cáo khi các cơ quan, đơn vị khác chủ trì góp phần an dân, ổn định tình hình an ninh chính trị và trật tự an toàn xã hội trên địa bàn huyện, không để phát sinh các điểm nóng, phức tạp ảnh hưởng đến sự phát triển kinh tế - xã hội của huyện. Hằng năm, chủ động xây dựng kế hoạch và triển khai thực hiện công tác thanh tra trách nhiệm của Thủ trưởng đơn vị trong thực hiện pháp luật về tiếp công dân, giải quyết khiếu nại, tố cáo, góp phần vào việc chấn chỉnh và khắc phục những thiếu sót, vi phạm của một số đơn vị sau thanh tra.</w:t>
      </w:r>
    </w:p>
    <w:p w:rsidR="00AE64C2" w:rsidRPr="00A72BFC" w:rsidRDefault="00AE64C2" w:rsidP="00AE64C2">
      <w:pPr>
        <w:spacing w:before="60" w:after="60"/>
        <w:ind w:firstLine="720"/>
        <w:jc w:val="both"/>
        <w:rPr>
          <w:b/>
          <w:color w:val="auto"/>
          <w:szCs w:val="28"/>
        </w:rPr>
      </w:pPr>
      <w:r w:rsidRPr="00A72BFC">
        <w:rPr>
          <w:b/>
          <w:color w:val="auto"/>
          <w:szCs w:val="28"/>
        </w:rPr>
        <w:t>1.5. Kinh nghiệm rút ra qua tổ chức, chỉ đạo và thực hiện công tác giải quyết khiếu nại, tố cáo</w:t>
      </w:r>
    </w:p>
    <w:p w:rsidR="00AE64C2" w:rsidRPr="00A72BFC" w:rsidRDefault="00AE64C2" w:rsidP="00AE64C2">
      <w:pPr>
        <w:spacing w:before="60" w:after="60"/>
        <w:ind w:firstLine="720"/>
        <w:jc w:val="both"/>
        <w:rPr>
          <w:color w:val="auto"/>
          <w:szCs w:val="28"/>
        </w:rPr>
      </w:pPr>
      <w:r w:rsidRPr="00A72BFC">
        <w:rPr>
          <w:color w:val="auto"/>
          <w:szCs w:val="28"/>
        </w:rPr>
        <w:t>Bố trí cán bộ tiếp công dân, giải quyết đơn thư khiếu nại, tố cáo phải đảm bảo có đủ trình độ năng lực chuyên môn, am hiểu thực tế và khả năng vận động, thuyết phục quần chúng để đáp ứng với yêu cầu nhiệm vụ được giao.</w:t>
      </w:r>
    </w:p>
    <w:p w:rsidR="00AE64C2" w:rsidRPr="00A72BFC" w:rsidRDefault="00AE64C2" w:rsidP="00AE64C2">
      <w:pPr>
        <w:spacing w:before="60" w:after="60"/>
        <w:ind w:firstLine="720"/>
        <w:jc w:val="both"/>
        <w:rPr>
          <w:color w:val="auto"/>
          <w:szCs w:val="28"/>
        </w:rPr>
      </w:pPr>
      <w:r w:rsidRPr="00A72BFC">
        <w:rPr>
          <w:color w:val="auto"/>
          <w:szCs w:val="28"/>
        </w:rPr>
        <w:t>Thường xuyên có sự phối hợp chặt chẽ trong công tác tiếp công dân, giải quyết khiếu nại, tố cáo của công dân giữa UBND huyện với các cơ quan chức năng trong tỉnh, kịp thời tháo gỡ, giải quyết những vụ việc có tính chất phức tạp và thường xuyên có sự cung cấp thông tin, trao đổi nghiệp vụ giữa các cơ quan chức năng của tỉnh và cơ quan chuyên môn của huyện để việc giải quyết đơn thư đảm bảo thấu tình, đạt lý, đúng pháp luật.</w:t>
      </w:r>
    </w:p>
    <w:p w:rsidR="00AE64C2" w:rsidRPr="00A72BFC" w:rsidRDefault="00AE64C2" w:rsidP="00AE64C2">
      <w:pPr>
        <w:spacing w:before="60" w:after="60"/>
        <w:ind w:firstLine="720"/>
        <w:jc w:val="both"/>
        <w:rPr>
          <w:color w:val="auto"/>
          <w:szCs w:val="28"/>
        </w:rPr>
      </w:pPr>
      <w:r w:rsidRPr="00A72BFC">
        <w:rPr>
          <w:color w:val="auto"/>
          <w:szCs w:val="28"/>
        </w:rPr>
        <w:t>Đẩy mạnh và nâng cao chất lượng hòa giải, đối thoại, vận động, thuyết phục công dân chấm dứt khiếu nại, tố cáo không đúng, giảm thiểu các tranh chấp, khiếu nại ngay từ cơ sở.</w:t>
      </w:r>
    </w:p>
    <w:p w:rsidR="00AE64C2" w:rsidRPr="00A72BFC" w:rsidRDefault="00AE64C2" w:rsidP="00AE64C2">
      <w:pPr>
        <w:spacing w:before="60" w:after="60"/>
        <w:ind w:firstLine="720"/>
        <w:jc w:val="both"/>
        <w:rPr>
          <w:b/>
          <w:color w:val="auto"/>
          <w:szCs w:val="28"/>
        </w:rPr>
      </w:pPr>
      <w:r w:rsidRPr="00A72BFC">
        <w:rPr>
          <w:b/>
          <w:color w:val="auto"/>
          <w:szCs w:val="28"/>
        </w:rPr>
        <w:t>2. Dự báo</w:t>
      </w:r>
    </w:p>
    <w:p w:rsidR="00AE64C2" w:rsidRPr="00A72BFC" w:rsidRDefault="00AE64C2" w:rsidP="00AE64C2">
      <w:pPr>
        <w:spacing w:before="60" w:after="60"/>
        <w:ind w:firstLine="720"/>
        <w:jc w:val="both"/>
        <w:rPr>
          <w:color w:val="auto"/>
          <w:szCs w:val="28"/>
        </w:rPr>
      </w:pPr>
      <w:r w:rsidRPr="00A72BFC">
        <w:rPr>
          <w:color w:val="auto"/>
          <w:szCs w:val="28"/>
        </w:rPr>
        <w:t>Tình hình khiếu nại tố cáo, của công dân trong kỳ vẫn còn nhiều phức tạp, một số vụ việc đã được các cơ quan chức năng giải quyết nhưng vẫn tiếp tục khiếu nại, kéo dài.</w:t>
      </w:r>
    </w:p>
    <w:p w:rsidR="00AE64C2" w:rsidRPr="00A72BFC" w:rsidRDefault="00AE64C2" w:rsidP="00AE64C2">
      <w:pPr>
        <w:spacing w:before="60" w:after="60"/>
        <w:ind w:firstLine="720"/>
        <w:jc w:val="both"/>
        <w:rPr>
          <w:color w:val="auto"/>
          <w:szCs w:val="28"/>
        </w:rPr>
      </w:pPr>
      <w:r w:rsidRPr="00A72BFC">
        <w:rPr>
          <w:color w:val="auto"/>
          <w:szCs w:val="28"/>
        </w:rPr>
        <w:t>Để giải quyết các vụ việc khiếu nại, tố cáo phức tạp, kéo dài, đông người, vượt cấp, UBND huyện tiếp tục chỉ đạo các cơ quan chuyên môn, UBND các xã, thị trấn phối hợp với các cơ quan chức năng tập trung giải quyết, hướng dẫn, giải thích cho công dân nhằm giảm thiểu đơn thư kéo dài vượt cấp.</w:t>
      </w:r>
    </w:p>
    <w:p w:rsidR="00AE64C2" w:rsidRPr="00A72BFC" w:rsidRDefault="00AE64C2" w:rsidP="00AE64C2">
      <w:pPr>
        <w:spacing w:before="60" w:after="60"/>
        <w:ind w:firstLine="720"/>
        <w:jc w:val="both"/>
        <w:rPr>
          <w:b/>
          <w:color w:val="auto"/>
          <w:szCs w:val="28"/>
        </w:rPr>
      </w:pPr>
      <w:r w:rsidRPr="00A72BFC">
        <w:rPr>
          <w:b/>
          <w:color w:val="auto"/>
          <w:szCs w:val="28"/>
        </w:rPr>
        <w:t>IV. PHƯƠNG HƯỚNG, NHIỆM VỤ NĂM 2017</w:t>
      </w:r>
    </w:p>
    <w:p w:rsidR="00AE64C2" w:rsidRPr="00A72BFC" w:rsidRDefault="00AE64C2" w:rsidP="00AE64C2">
      <w:pPr>
        <w:spacing w:before="60" w:after="60"/>
        <w:ind w:firstLine="720"/>
        <w:jc w:val="both"/>
        <w:rPr>
          <w:color w:val="auto"/>
          <w:szCs w:val="28"/>
        </w:rPr>
      </w:pPr>
      <w:r w:rsidRPr="00A72BFC">
        <w:rPr>
          <w:color w:val="auto"/>
          <w:szCs w:val="28"/>
        </w:rPr>
        <w:t>Trong thời gian tới, dưới sự chỉ đạo của UBND tỉnh, sự quan tâm của Thường trực Huyện ủy, Thường trực HĐND huyện, UBND huyện tiếp tục triển khai và tổ chức thi hành Luật Khiếu nại, Luật Tố cáo, ban hành kịp thời các văn bản chỉ đạo tăng cường công tác tiếp dân, công tác giải quyết khiếu nại, tố cáo trên địa bàn huyện, giải quyết kịp thời những bức xúc của nhân dân, hạn chế được tình trạng đơn thư vượt cấp, tồn đọng, kéo dài.</w:t>
      </w:r>
    </w:p>
    <w:p w:rsidR="00AE64C2" w:rsidRPr="00A72BFC" w:rsidRDefault="00AE64C2" w:rsidP="00AE64C2">
      <w:pPr>
        <w:spacing w:before="60" w:after="60"/>
        <w:ind w:firstLine="720"/>
        <w:jc w:val="both"/>
        <w:rPr>
          <w:color w:val="auto"/>
          <w:szCs w:val="28"/>
        </w:rPr>
      </w:pPr>
      <w:r w:rsidRPr="00A72BFC">
        <w:rPr>
          <w:color w:val="auto"/>
          <w:szCs w:val="28"/>
        </w:rPr>
        <w:t>Bố trí cán bộ thường xuyên trực tiếp dân tại trụ sở và các ngày trực tiếp dân của Chủ tịch Uỷ ban nhân dân huyện; giải quyết kịp thời đúng pháp luật các đơn thư khiếu nại, tố cáo thuộc thẩm quyền (nếu có).</w:t>
      </w:r>
    </w:p>
    <w:p w:rsidR="00AE64C2" w:rsidRPr="00A72BFC" w:rsidRDefault="00AE64C2" w:rsidP="00AE64C2">
      <w:pPr>
        <w:spacing w:before="60" w:after="60"/>
        <w:ind w:firstLine="720"/>
        <w:jc w:val="both"/>
        <w:rPr>
          <w:color w:val="auto"/>
          <w:szCs w:val="28"/>
        </w:rPr>
      </w:pPr>
      <w:r w:rsidRPr="00A72BFC">
        <w:rPr>
          <w:color w:val="auto"/>
          <w:szCs w:val="28"/>
        </w:rPr>
        <w:lastRenderedPageBreak/>
        <w:t>Tăng cường công tác thanh tra, kiểm tra trách nhiệm của Thủ trưởng các cơ quan, đơn vị, Chủ tịch UBND các xã, thị trấn trong việc tổ chức tiếp công dân và giải quyết đơn thư khiếu nại, tố cáo theo quy định của pháp luật</w:t>
      </w:r>
    </w:p>
    <w:p w:rsidR="00AE64C2" w:rsidRPr="00A72BFC" w:rsidRDefault="00AE64C2" w:rsidP="00AE64C2">
      <w:pPr>
        <w:spacing w:before="60" w:after="60"/>
        <w:ind w:firstLine="720"/>
        <w:jc w:val="both"/>
        <w:rPr>
          <w:rFonts w:eastAsia="Calibri"/>
          <w:b/>
          <w:color w:val="auto"/>
          <w:szCs w:val="28"/>
          <w:lang w:val="pt-BR"/>
        </w:rPr>
      </w:pPr>
      <w:r w:rsidRPr="00A72BFC">
        <w:rPr>
          <w:rFonts w:eastAsia="Calibri"/>
          <w:snapToGrid w:val="0"/>
          <w:color w:val="auto"/>
          <w:szCs w:val="28"/>
          <w:lang w:val="pt-BR"/>
        </w:rPr>
        <w:t xml:space="preserve">Trên đây là Báo cáo </w:t>
      </w:r>
      <w:r w:rsidRPr="00A72BFC">
        <w:rPr>
          <w:color w:val="auto"/>
          <w:szCs w:val="28"/>
        </w:rPr>
        <w:t>Công tác tiếp công dân và giải quyết đơn thư khiếu nại, tố cáo, kiến nghị, phản ánh của công dân năm 2016 và phương hướng, nhiệm vụ năm 2017</w:t>
      </w:r>
      <w:r w:rsidRPr="00A72BFC">
        <w:rPr>
          <w:rFonts w:eastAsia="Calibri"/>
          <w:color w:val="auto"/>
          <w:szCs w:val="28"/>
          <w:lang w:val="pt-BR"/>
        </w:rPr>
        <w:t>, UBND huyện xin báo cáo trước kỳ họp HĐND huyện./.</w:t>
      </w:r>
    </w:p>
    <w:tbl>
      <w:tblPr>
        <w:tblStyle w:val="TableGrid"/>
        <w:tblpPr w:leftFromText="180" w:rightFromText="180" w:vertAnchor="text" w:tblpX="108"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3"/>
        <w:gridCol w:w="4848"/>
      </w:tblGrid>
      <w:tr w:rsidR="00AE64C2" w:rsidTr="00A0534C">
        <w:trPr>
          <w:trHeight w:val="2241"/>
        </w:trPr>
        <w:tc>
          <w:tcPr>
            <w:tcW w:w="4883" w:type="dxa"/>
            <w:hideMark/>
          </w:tcPr>
          <w:p w:rsidR="00AE64C2" w:rsidRPr="001D018D" w:rsidRDefault="00AE64C2" w:rsidP="00A0534C">
            <w:pPr>
              <w:rPr>
                <w:b/>
                <w:color w:val="auto"/>
                <w:szCs w:val="28"/>
              </w:rPr>
            </w:pPr>
            <w:r w:rsidRPr="001D018D">
              <w:rPr>
                <w:b/>
                <w:i/>
                <w:color w:val="auto"/>
                <w:sz w:val="24"/>
                <w:szCs w:val="24"/>
              </w:rPr>
              <w:t>Nơi nhận:</w:t>
            </w:r>
            <w:r w:rsidRPr="001D018D">
              <w:rPr>
                <w:b/>
                <w:i/>
                <w:color w:val="auto"/>
                <w:sz w:val="24"/>
                <w:szCs w:val="24"/>
              </w:rPr>
              <w:tab/>
            </w:r>
            <w:r w:rsidRPr="001D018D">
              <w:rPr>
                <w:b/>
                <w:i/>
                <w:color w:val="auto"/>
                <w:sz w:val="24"/>
                <w:szCs w:val="24"/>
              </w:rPr>
              <w:tab/>
            </w:r>
            <w:r w:rsidRPr="001D018D">
              <w:rPr>
                <w:b/>
                <w:color w:val="auto"/>
                <w:szCs w:val="28"/>
              </w:rPr>
              <w:tab/>
            </w:r>
            <w:r w:rsidRPr="001D018D">
              <w:rPr>
                <w:b/>
                <w:color w:val="auto"/>
                <w:szCs w:val="28"/>
              </w:rPr>
              <w:tab/>
            </w:r>
          </w:p>
          <w:p w:rsidR="00AE64C2" w:rsidRPr="001D018D" w:rsidRDefault="00AE64C2" w:rsidP="00A0534C">
            <w:pPr>
              <w:rPr>
                <w:color w:val="auto"/>
                <w:sz w:val="22"/>
              </w:rPr>
            </w:pPr>
            <w:r w:rsidRPr="001D018D">
              <w:rPr>
                <w:color w:val="auto"/>
                <w:sz w:val="22"/>
              </w:rPr>
              <w:t>- Thường trực Huyện ủy;</w:t>
            </w:r>
            <w:r w:rsidRPr="001D018D">
              <w:rPr>
                <w:color w:val="auto"/>
                <w:sz w:val="22"/>
              </w:rPr>
              <w:tab/>
            </w:r>
            <w:r w:rsidRPr="001D018D">
              <w:rPr>
                <w:color w:val="auto"/>
                <w:sz w:val="22"/>
              </w:rPr>
              <w:tab/>
            </w:r>
          </w:p>
          <w:p w:rsidR="00AE64C2" w:rsidRPr="001D018D" w:rsidRDefault="00AE64C2" w:rsidP="00A0534C">
            <w:pPr>
              <w:rPr>
                <w:color w:val="auto"/>
                <w:sz w:val="22"/>
              </w:rPr>
            </w:pPr>
            <w:r w:rsidRPr="001D018D">
              <w:rPr>
                <w:color w:val="auto"/>
                <w:sz w:val="22"/>
              </w:rPr>
              <w:t>- Thường trực HĐND huyện;</w:t>
            </w:r>
          </w:p>
          <w:p w:rsidR="00AE64C2" w:rsidRPr="001D018D" w:rsidRDefault="00AE64C2" w:rsidP="00A0534C">
            <w:pPr>
              <w:rPr>
                <w:color w:val="auto"/>
                <w:sz w:val="22"/>
              </w:rPr>
            </w:pPr>
            <w:r w:rsidRPr="001D018D">
              <w:rPr>
                <w:color w:val="auto"/>
                <w:sz w:val="22"/>
              </w:rPr>
              <w:t>- Chủ tịch, các PCT UBND huyện;</w:t>
            </w:r>
          </w:p>
          <w:p w:rsidR="00AE64C2" w:rsidRPr="001D018D" w:rsidRDefault="00AE64C2" w:rsidP="00A0534C">
            <w:pPr>
              <w:rPr>
                <w:color w:val="auto"/>
                <w:sz w:val="22"/>
              </w:rPr>
            </w:pPr>
            <w:r w:rsidRPr="001D018D">
              <w:rPr>
                <w:color w:val="auto"/>
                <w:sz w:val="22"/>
              </w:rPr>
              <w:t>- Các Ban HĐND huyện;</w:t>
            </w:r>
          </w:p>
          <w:p w:rsidR="00AE64C2" w:rsidRPr="001D018D" w:rsidRDefault="00AE64C2" w:rsidP="00A0534C">
            <w:pPr>
              <w:rPr>
                <w:color w:val="auto"/>
                <w:sz w:val="22"/>
              </w:rPr>
            </w:pPr>
            <w:r w:rsidRPr="001D018D">
              <w:rPr>
                <w:color w:val="auto"/>
                <w:sz w:val="22"/>
              </w:rPr>
              <w:t>- Đại biểu HĐND huyện;</w:t>
            </w:r>
          </w:p>
          <w:p w:rsidR="00AE64C2" w:rsidRPr="001D018D" w:rsidRDefault="00AE64C2" w:rsidP="00A0534C">
            <w:pPr>
              <w:rPr>
                <w:color w:val="auto"/>
                <w:sz w:val="22"/>
              </w:rPr>
            </w:pPr>
            <w:r w:rsidRPr="001D018D">
              <w:rPr>
                <w:color w:val="auto"/>
                <w:sz w:val="22"/>
              </w:rPr>
              <w:t>- LĐVP;</w:t>
            </w:r>
            <w:r w:rsidRPr="001D018D">
              <w:rPr>
                <w:color w:val="auto"/>
                <w:sz w:val="22"/>
              </w:rPr>
              <w:tab/>
            </w:r>
            <w:r w:rsidRPr="001D018D">
              <w:rPr>
                <w:color w:val="auto"/>
                <w:sz w:val="22"/>
              </w:rPr>
              <w:tab/>
            </w:r>
            <w:r w:rsidRPr="001D018D">
              <w:rPr>
                <w:color w:val="auto"/>
                <w:sz w:val="22"/>
              </w:rPr>
              <w:tab/>
            </w:r>
          </w:p>
          <w:p w:rsidR="00AE64C2" w:rsidRPr="001D018D" w:rsidRDefault="00AE64C2" w:rsidP="00A0534C">
            <w:pPr>
              <w:rPr>
                <w:color w:val="auto"/>
                <w:szCs w:val="28"/>
              </w:rPr>
            </w:pPr>
            <w:r w:rsidRPr="001D018D">
              <w:rPr>
                <w:color w:val="auto"/>
                <w:sz w:val="22"/>
              </w:rPr>
              <w:t>- Lưu: VT-LT.</w:t>
            </w:r>
            <w:r w:rsidRPr="001D018D">
              <w:rPr>
                <w:b/>
                <w:color w:val="auto"/>
                <w:sz w:val="22"/>
              </w:rPr>
              <w:tab/>
            </w:r>
          </w:p>
        </w:tc>
        <w:tc>
          <w:tcPr>
            <w:tcW w:w="5008" w:type="dxa"/>
            <w:hideMark/>
          </w:tcPr>
          <w:p w:rsidR="00AE64C2" w:rsidRPr="001D018D" w:rsidRDefault="00AE64C2" w:rsidP="00A0534C">
            <w:pPr>
              <w:jc w:val="center"/>
              <w:rPr>
                <w:b/>
                <w:color w:val="auto"/>
                <w:sz w:val="26"/>
                <w:szCs w:val="26"/>
              </w:rPr>
            </w:pPr>
            <w:r w:rsidRPr="001D018D">
              <w:rPr>
                <w:b/>
                <w:color w:val="auto"/>
                <w:sz w:val="26"/>
                <w:szCs w:val="26"/>
              </w:rPr>
              <w:t>TM. ỦY BAN NHÂN DÂN</w:t>
            </w:r>
          </w:p>
          <w:p w:rsidR="00AE64C2" w:rsidRPr="001D018D" w:rsidRDefault="00AE64C2" w:rsidP="00A0534C">
            <w:pPr>
              <w:jc w:val="center"/>
              <w:rPr>
                <w:b/>
                <w:color w:val="auto"/>
                <w:sz w:val="26"/>
                <w:szCs w:val="26"/>
              </w:rPr>
            </w:pPr>
            <w:r w:rsidRPr="001D018D">
              <w:rPr>
                <w:b/>
                <w:color w:val="auto"/>
                <w:sz w:val="26"/>
                <w:szCs w:val="26"/>
              </w:rPr>
              <w:t>KT. CHỦ TỊCH</w:t>
            </w:r>
          </w:p>
          <w:p w:rsidR="00AE64C2" w:rsidRPr="001D018D" w:rsidRDefault="00AE64C2" w:rsidP="00A0534C">
            <w:pPr>
              <w:jc w:val="center"/>
              <w:rPr>
                <w:b/>
                <w:color w:val="auto"/>
                <w:sz w:val="26"/>
                <w:szCs w:val="26"/>
              </w:rPr>
            </w:pPr>
            <w:r w:rsidRPr="001D018D">
              <w:rPr>
                <w:b/>
                <w:color w:val="auto"/>
                <w:sz w:val="26"/>
                <w:szCs w:val="26"/>
              </w:rPr>
              <w:t>PHÓ CHỦ TỊCH</w:t>
            </w:r>
          </w:p>
          <w:p w:rsidR="00AE64C2" w:rsidRPr="001D018D" w:rsidRDefault="00AE64C2" w:rsidP="00A0534C">
            <w:pPr>
              <w:jc w:val="center"/>
              <w:rPr>
                <w:b/>
                <w:color w:val="auto"/>
                <w:sz w:val="26"/>
                <w:szCs w:val="26"/>
              </w:rPr>
            </w:pPr>
            <w:r w:rsidRPr="001D018D">
              <w:rPr>
                <w:b/>
                <w:color w:val="auto"/>
                <w:sz w:val="26"/>
                <w:szCs w:val="26"/>
              </w:rPr>
              <w:t>(Đã ký)</w:t>
            </w:r>
          </w:p>
          <w:p w:rsidR="00AE64C2" w:rsidRPr="001D018D" w:rsidRDefault="00AE64C2" w:rsidP="00A0534C">
            <w:pPr>
              <w:jc w:val="center"/>
              <w:rPr>
                <w:b/>
                <w:color w:val="auto"/>
                <w:sz w:val="26"/>
                <w:szCs w:val="26"/>
              </w:rPr>
            </w:pPr>
          </w:p>
          <w:p w:rsidR="00AE64C2" w:rsidRPr="001D018D" w:rsidRDefault="00AE64C2" w:rsidP="00A0534C">
            <w:pPr>
              <w:jc w:val="center"/>
              <w:rPr>
                <w:color w:val="auto"/>
                <w:szCs w:val="28"/>
              </w:rPr>
            </w:pPr>
            <w:r w:rsidRPr="001D018D">
              <w:rPr>
                <w:b/>
                <w:color w:val="auto"/>
                <w:sz w:val="26"/>
                <w:szCs w:val="26"/>
              </w:rPr>
              <w:t>Nguyễn Hữu Thạnh</w:t>
            </w:r>
          </w:p>
        </w:tc>
      </w:tr>
    </w:tbl>
    <w:p w:rsidR="00AE64C2" w:rsidRDefault="00AE64C2" w:rsidP="00AE64C2">
      <w:pPr>
        <w:jc w:val="both"/>
        <w:rPr>
          <w:rFonts w:eastAsiaTheme="minorHAnsi"/>
          <w:b/>
          <w:color w:val="auto"/>
          <w:szCs w:val="28"/>
        </w:rPr>
      </w:pPr>
      <w:r>
        <w:rPr>
          <w:b/>
          <w:szCs w:val="28"/>
        </w:rPr>
        <w:tab/>
      </w: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E69" w:rsidRDefault="00106E69" w:rsidP="00AE64C2">
      <w:r>
        <w:separator/>
      </w:r>
    </w:p>
  </w:endnote>
  <w:endnote w:type="continuationSeparator" w:id="1">
    <w:p w:rsidR="00106E69" w:rsidRDefault="00106E69" w:rsidP="00AE6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E69" w:rsidRDefault="00106E69" w:rsidP="00AE64C2">
      <w:r>
        <w:separator/>
      </w:r>
    </w:p>
  </w:footnote>
  <w:footnote w:type="continuationSeparator" w:id="1">
    <w:p w:rsidR="00106E69" w:rsidRDefault="00106E69" w:rsidP="00AE64C2">
      <w:r>
        <w:continuationSeparator/>
      </w:r>
    </w:p>
  </w:footnote>
  <w:footnote w:id="2">
    <w:p w:rsidR="00AE64C2" w:rsidRPr="008B4357" w:rsidRDefault="00AE64C2" w:rsidP="00AE64C2">
      <w:pPr>
        <w:ind w:firstLine="567"/>
        <w:jc w:val="both"/>
        <w:rPr>
          <w:rFonts w:asciiTheme="minorHAnsi" w:hAnsiTheme="minorHAnsi" w:cstheme="minorBidi"/>
          <w:color w:val="auto"/>
          <w:sz w:val="20"/>
          <w:szCs w:val="20"/>
        </w:rPr>
      </w:pPr>
      <w:r w:rsidRPr="008B4357">
        <w:rPr>
          <w:color w:val="auto"/>
          <w:sz w:val="20"/>
          <w:szCs w:val="20"/>
          <w:vertAlign w:val="superscript"/>
        </w:rPr>
        <w:t>(</w:t>
      </w:r>
      <w:r w:rsidRPr="008B4357">
        <w:rPr>
          <w:rStyle w:val="FootnoteReference"/>
          <w:color w:val="auto"/>
          <w:sz w:val="20"/>
          <w:szCs w:val="20"/>
        </w:rPr>
        <w:footnoteRef/>
      </w:r>
      <w:r w:rsidRPr="008B4357">
        <w:rPr>
          <w:color w:val="auto"/>
          <w:sz w:val="20"/>
          <w:szCs w:val="20"/>
          <w:vertAlign w:val="superscript"/>
        </w:rPr>
        <w:t>)</w:t>
      </w:r>
      <w:r w:rsidRPr="008B4357">
        <w:rPr>
          <w:color w:val="auto"/>
          <w:sz w:val="20"/>
          <w:szCs w:val="20"/>
        </w:rPr>
        <w:t xml:space="preserve"> Trong đó: Tại trụ sở tiếp công dân đã tiếp: 74 lượt công dân. Tại UBND các xã, thị trấn và các cơ quan đã tiếp: 105 lượt công dân. </w:t>
      </w:r>
    </w:p>
  </w:footnote>
  <w:footnote w:id="3">
    <w:p w:rsidR="00AE64C2" w:rsidRPr="008B4357" w:rsidRDefault="00AE64C2" w:rsidP="00AE64C2">
      <w:pPr>
        <w:ind w:firstLine="567"/>
        <w:jc w:val="both"/>
        <w:rPr>
          <w:rFonts w:eastAsia="Calibri"/>
          <w:color w:val="auto"/>
          <w:sz w:val="20"/>
          <w:szCs w:val="20"/>
        </w:rPr>
      </w:pPr>
      <w:r w:rsidRPr="008B4357">
        <w:rPr>
          <w:rFonts w:eastAsia="Calibri"/>
          <w:color w:val="auto"/>
          <w:sz w:val="20"/>
          <w:szCs w:val="20"/>
          <w:vertAlign w:val="superscript"/>
        </w:rPr>
        <w:t>(</w:t>
      </w:r>
      <w:r w:rsidRPr="008B4357">
        <w:rPr>
          <w:rStyle w:val="FootnoteReference"/>
          <w:rFonts w:eastAsia="Calibri"/>
          <w:color w:val="auto"/>
          <w:sz w:val="20"/>
          <w:szCs w:val="20"/>
        </w:rPr>
        <w:footnoteRef/>
      </w:r>
      <w:r w:rsidRPr="008B4357">
        <w:rPr>
          <w:rFonts w:eastAsia="Calibri"/>
          <w:color w:val="auto"/>
          <w:sz w:val="20"/>
          <w:szCs w:val="20"/>
          <w:vertAlign w:val="superscript"/>
        </w:rPr>
        <w:t>)</w:t>
      </w:r>
      <w:r w:rsidRPr="008B4357">
        <w:rPr>
          <w:rFonts w:eastAsia="Calibri"/>
          <w:color w:val="auto"/>
          <w:sz w:val="20"/>
          <w:szCs w:val="20"/>
        </w:rPr>
        <w:t xml:space="preserve"> </w:t>
      </w:r>
      <w:r w:rsidRPr="008B4357">
        <w:rPr>
          <w:rFonts w:eastAsia="Calibri"/>
          <w:iCs/>
          <w:color w:val="auto"/>
          <w:sz w:val="20"/>
          <w:szCs w:val="20"/>
        </w:rPr>
        <w:t>Qua công tác tuyên truyền vận động của các cơ quan, đơn vị và Nông trường cao su Sa Sơn, đến thời điểm hiện tại đã có 162/313 hộ thực hiện ký kết hợp đồng sản xuất với diện tích 294ha/551 ha. Số hộ và diện tích còn lại chưa ký hợp đồng 151 hộ/257 ha; có 37/59 hộ dân; có 37/59 hộ dân đã phối hợp với Sở Tài nguyên &amp; môi trường và chính quyền địa phương tham gia xác định ranh giới, diện tích, vị trí đất được UBND tỉnh thu hồi tại quyết định số 1111/QĐ-UBND ngày 04/10/2006.</w:t>
      </w:r>
    </w:p>
  </w:footnote>
  <w:footnote w:id="4">
    <w:p w:rsidR="00AE64C2" w:rsidRPr="008B4357" w:rsidRDefault="00AE64C2" w:rsidP="00AE64C2">
      <w:pPr>
        <w:pStyle w:val="FootnoteText"/>
        <w:ind w:firstLine="567"/>
        <w:jc w:val="both"/>
        <w:rPr>
          <w:rFonts w:ascii="Calibri" w:eastAsia="Calibri" w:hAnsi="Calibri"/>
        </w:rPr>
      </w:pPr>
      <w:r w:rsidRPr="008B4357">
        <w:rPr>
          <w:rFonts w:eastAsia="Calibri"/>
          <w:vertAlign w:val="superscript"/>
        </w:rPr>
        <w:t>(</w:t>
      </w:r>
      <w:r w:rsidRPr="008B4357">
        <w:rPr>
          <w:rStyle w:val="FootnoteReference"/>
          <w:rFonts w:eastAsia="Calibri"/>
        </w:rPr>
        <w:footnoteRef/>
      </w:r>
      <w:r w:rsidRPr="008B4357">
        <w:rPr>
          <w:rFonts w:eastAsia="Calibri"/>
          <w:vertAlign w:val="superscript"/>
        </w:rPr>
        <w:t>)</w:t>
      </w:r>
      <w:r w:rsidRPr="008B4357">
        <w:rPr>
          <w:rFonts w:eastAsia="Calibri"/>
          <w:b/>
          <w:vertAlign w:val="superscript"/>
        </w:rPr>
        <w:t xml:space="preserve"> </w:t>
      </w:r>
      <w:r w:rsidRPr="008B4357">
        <w:rPr>
          <w:rFonts w:eastAsia="Calibri"/>
        </w:rPr>
        <w:t>Vụ việc của bà Nguyễn Thị Đậu đã được UBND tỉnh ban hành Quyết định giải quyết khiếu nại lần 2 và Thông báo chấm dứt thụ lý và giải quyết khiếu nại; vụ việc của bà Đỗ Thị Xuyến đã có Bản án giải quyết của Tòa án.</w:t>
      </w:r>
    </w:p>
  </w:footnote>
  <w:footnote w:id="5">
    <w:p w:rsidR="00AE64C2" w:rsidRPr="008B4357" w:rsidRDefault="00AE64C2" w:rsidP="00AE64C2">
      <w:pPr>
        <w:pStyle w:val="FootnoteText"/>
        <w:ind w:firstLine="567"/>
        <w:rPr>
          <w:rFonts w:asciiTheme="minorHAnsi" w:eastAsiaTheme="minorHAnsi" w:hAnsiTheme="minorHAnsi" w:cstheme="minorBidi"/>
        </w:rPr>
      </w:pPr>
      <w:r w:rsidRPr="008B4357">
        <w:rPr>
          <w:vertAlign w:val="superscript"/>
        </w:rPr>
        <w:t>(</w:t>
      </w:r>
      <w:r w:rsidRPr="008B4357">
        <w:rPr>
          <w:rStyle w:val="FootnoteReference"/>
        </w:rPr>
        <w:footnoteRef/>
      </w:r>
      <w:r w:rsidRPr="008B4357">
        <w:rPr>
          <w:vertAlign w:val="superscript"/>
        </w:rPr>
        <w:t>)</w:t>
      </w:r>
      <w:r w:rsidRPr="008B4357">
        <w:t xml:space="preserve"> Trong đó: Đơn tố cáo: 12 đơn, đơn khiếu nại: 12 đơn, đơn kiến nghị: 93 đơn. </w:t>
      </w:r>
    </w:p>
  </w:footnote>
  <w:footnote w:id="6">
    <w:p w:rsidR="00AE64C2" w:rsidRPr="00EC3AEF" w:rsidRDefault="00AE64C2" w:rsidP="00AE64C2">
      <w:pPr>
        <w:pStyle w:val="FootnoteText"/>
        <w:ind w:firstLine="567"/>
      </w:pPr>
      <w:r w:rsidRPr="00EC3AEF">
        <w:rPr>
          <w:vertAlign w:val="superscript"/>
        </w:rPr>
        <w:t>(</w:t>
      </w:r>
      <w:r w:rsidRPr="00EC3AEF">
        <w:rPr>
          <w:rStyle w:val="FootnoteReference"/>
        </w:rPr>
        <w:footnoteRef/>
      </w:r>
      <w:r w:rsidRPr="00EC3AEF">
        <w:rPr>
          <w:vertAlign w:val="superscript"/>
        </w:rPr>
        <w:t>)</w:t>
      </w:r>
      <w:r w:rsidRPr="00EC3AEF">
        <w:t xml:space="preserve"> Trong đó có 03 đơn tố cáo, 01 đơn khiếu nại và 18 đơn kiến nghị. </w:t>
      </w:r>
    </w:p>
  </w:footnote>
  <w:footnote w:id="7">
    <w:p w:rsidR="00AE64C2" w:rsidRPr="00EC3AEF" w:rsidRDefault="00AE64C2" w:rsidP="00AE64C2">
      <w:pPr>
        <w:ind w:firstLine="567"/>
        <w:jc w:val="both"/>
        <w:rPr>
          <w:rFonts w:asciiTheme="minorHAnsi" w:hAnsiTheme="minorHAnsi" w:cstheme="minorBidi"/>
        </w:rPr>
      </w:pPr>
      <w:r w:rsidRPr="00EC3AEF">
        <w:rPr>
          <w:color w:val="auto"/>
          <w:sz w:val="20"/>
          <w:szCs w:val="20"/>
          <w:vertAlign w:val="superscript"/>
        </w:rPr>
        <w:t>(</w:t>
      </w:r>
      <w:r w:rsidRPr="00EC3AEF">
        <w:rPr>
          <w:rStyle w:val="FootnoteReference"/>
          <w:color w:val="auto"/>
          <w:sz w:val="20"/>
          <w:szCs w:val="20"/>
        </w:rPr>
        <w:footnoteRef/>
      </w:r>
      <w:r w:rsidRPr="00EC3AEF">
        <w:rPr>
          <w:color w:val="auto"/>
          <w:sz w:val="20"/>
          <w:szCs w:val="20"/>
          <w:vertAlign w:val="superscript"/>
        </w:rPr>
        <w:t>)</w:t>
      </w:r>
      <w:r w:rsidRPr="00EC3AEF">
        <w:rPr>
          <w:color w:val="auto"/>
        </w:rPr>
        <w:t xml:space="preserve"> </w:t>
      </w:r>
      <w:r w:rsidRPr="00EC3AEF">
        <w:rPr>
          <w:color w:val="auto"/>
          <w:sz w:val="20"/>
          <w:szCs w:val="20"/>
        </w:rPr>
        <w:t>Trong đó: Thông qua giải thích, thuyết phục: 05 đơn; thông qua giải quyết bằng quyết định hành chính: 03 đơn; 01 đơn không thụ lý; 01 đơn đang xem xét giải quyết.</w:t>
      </w:r>
    </w:p>
  </w:footnote>
  <w:footnote w:id="8">
    <w:p w:rsidR="00AE64C2" w:rsidRDefault="00AE64C2" w:rsidP="00AE64C2">
      <w:pPr>
        <w:pStyle w:val="FootnoteText"/>
        <w:ind w:firstLine="567"/>
        <w:jc w:val="both"/>
      </w:pPr>
      <w:r w:rsidRPr="00EC3AEF">
        <w:rPr>
          <w:vertAlign w:val="superscript"/>
        </w:rPr>
        <w:t>(</w:t>
      </w:r>
      <w:r w:rsidRPr="00EC3AEF">
        <w:rPr>
          <w:rStyle w:val="FootnoteReference"/>
        </w:rPr>
        <w:footnoteRef/>
      </w:r>
      <w:r w:rsidRPr="00EC3AEF">
        <w:rPr>
          <w:vertAlign w:val="superscript"/>
        </w:rPr>
        <w:t>)</w:t>
      </w:r>
      <w:r>
        <w:t xml:space="preserve"> Công văn số 11/UBND-TH, ngày 07/01/2016 về việc tăng cường công tác tiếp dân, giải quyết khiếu nại, tố cáo của công dân; Chương trình số 03/CTPH: UBND-HND, ngày 08/01/2016 của UBND huyện Sa Thầy và Hội nông dân huyện về việc tiếp công dân, giải quyết khiếu nại, tố cáo của nông dân; Công văn số 56/UBND-TH ngày 14/01/2016 về việc tăng cường công tác tiếp dân, giải quyết khiếu nại, tố cáo phục vụ Đại hội Đảng toàn quốc lần thứ XII; Quyết định số 1694/QĐ-UBND ngày 08/9/2016 về việc ban hành quy định về quy trình của tổ tiếp công dân và xử lý đơn khiếu nại, tố cáo, phản ánh, kiến nghị trên địa bàn huyện Sa Thầy.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E64C2"/>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06E69"/>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2BFC"/>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64C2"/>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C2"/>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AE64C2"/>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AE64C2"/>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AE64C2"/>
    <w:rPr>
      <w:vertAlign w:val="superscript"/>
    </w:rPr>
  </w:style>
  <w:style w:type="table" w:styleId="TableGrid">
    <w:name w:val="Table Grid"/>
    <w:basedOn w:val="TableNormal"/>
    <w:rsid w:val="00AE64C2"/>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2388</Words>
  <Characters>13614</Characters>
  <Application>Microsoft Office Word</Application>
  <DocSecurity>0</DocSecurity>
  <Lines>113</Lines>
  <Paragraphs>31</Paragraphs>
  <ScaleCrop>false</ScaleCrop>
  <Company>Sky123.Org</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2018-05-10T12:47:00Z</dcterms:created>
  <dcterms:modified xsi:type="dcterms:W3CDTF">2018-05-10T12:49:00Z</dcterms:modified>
</cp:coreProperties>
</file>