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3031"/>
        <w:gridCol w:w="6432"/>
      </w:tblGrid>
      <w:tr w:rsidR="00D27913" w:rsidRPr="000D2B40" w:rsidTr="00A0367B">
        <w:trPr>
          <w:trHeight w:val="890"/>
        </w:trPr>
        <w:tc>
          <w:tcPr>
            <w:tcW w:w="3107" w:type="dxa"/>
            <w:shd w:val="clear" w:color="auto" w:fill="auto"/>
          </w:tcPr>
          <w:p w:rsidR="00D27913" w:rsidRPr="000D2B40" w:rsidRDefault="00D27913" w:rsidP="00A0367B">
            <w:pPr>
              <w:jc w:val="center"/>
              <w:rPr>
                <w:b/>
                <w:color w:val="auto"/>
                <w:sz w:val="26"/>
                <w:szCs w:val="26"/>
              </w:rPr>
            </w:pPr>
            <w:r w:rsidRPr="000D2B40">
              <w:rPr>
                <w:b/>
                <w:color w:val="auto"/>
                <w:sz w:val="26"/>
                <w:szCs w:val="26"/>
              </w:rPr>
              <w:t>HỘI ĐỒNG NHÂN DÂN</w:t>
            </w:r>
          </w:p>
          <w:p w:rsidR="00D27913" w:rsidRPr="000D2B40" w:rsidRDefault="00D27913" w:rsidP="00A0367B">
            <w:pPr>
              <w:jc w:val="center"/>
              <w:rPr>
                <w:b/>
                <w:color w:val="auto"/>
                <w:szCs w:val="26"/>
              </w:rPr>
            </w:pPr>
            <w:r w:rsidRPr="00354FF8">
              <w:rPr>
                <w:color w:val="auto"/>
              </w:rPr>
              <w:pict>
                <v:shapetype id="_x0000_t32" coordsize="21600,21600" o:spt="32" o:oned="t" path="m,l21600,21600e" filled="f">
                  <v:path arrowok="t" fillok="f" o:connecttype="none"/>
                  <o:lock v:ext="edit" shapetype="t"/>
                </v:shapetype>
                <v:shape id="_x0000_s1026" type="#_x0000_t32" style="position:absolute;left:0;text-align:left;margin-left:48.5pt;margin-top:19.15pt;width:44.5pt;height:0;z-index:251660288" o:connectortype="straight"/>
              </w:pict>
            </w:r>
            <w:r w:rsidRPr="000D2B40">
              <w:rPr>
                <w:b/>
                <w:color w:val="auto"/>
                <w:sz w:val="26"/>
                <w:szCs w:val="26"/>
              </w:rPr>
              <w:t>HUYỆN SA THẦY</w:t>
            </w:r>
          </w:p>
        </w:tc>
        <w:tc>
          <w:tcPr>
            <w:tcW w:w="6650" w:type="dxa"/>
            <w:shd w:val="clear" w:color="auto" w:fill="auto"/>
          </w:tcPr>
          <w:p w:rsidR="00D27913" w:rsidRPr="000D2B40" w:rsidRDefault="00D27913" w:rsidP="00A0367B">
            <w:pPr>
              <w:jc w:val="center"/>
              <w:rPr>
                <w:b/>
                <w:color w:val="auto"/>
                <w:sz w:val="26"/>
                <w:szCs w:val="26"/>
              </w:rPr>
            </w:pPr>
            <w:r w:rsidRPr="000D2B40">
              <w:rPr>
                <w:b/>
                <w:color w:val="auto"/>
                <w:sz w:val="26"/>
                <w:szCs w:val="26"/>
              </w:rPr>
              <w:t>CỘNG HÒA XÃ HỘI CHỦ NGHĨA VIỆT NAM</w:t>
            </w:r>
          </w:p>
          <w:p w:rsidR="00D27913" w:rsidRPr="000D2B40" w:rsidRDefault="00D27913" w:rsidP="00A0367B">
            <w:pPr>
              <w:jc w:val="center"/>
              <w:rPr>
                <w:b/>
                <w:color w:val="auto"/>
                <w:szCs w:val="26"/>
              </w:rPr>
            </w:pPr>
            <w:r>
              <w:rPr>
                <w:b/>
                <w:noProof/>
                <w:color w:val="auto"/>
                <w:szCs w:val="26"/>
              </w:rPr>
              <w:pict>
                <v:shape id="_x0000_s1027" type="#_x0000_t32" style="position:absolute;left:0;text-align:left;margin-left:73.35pt;margin-top:19.15pt;width:159.65pt;height:0;z-index:251661312" o:connectortype="straight"/>
              </w:pict>
            </w:r>
            <w:r w:rsidRPr="000D2B40">
              <w:rPr>
                <w:b/>
                <w:color w:val="auto"/>
                <w:szCs w:val="26"/>
              </w:rPr>
              <w:t>Độc lập - Tự do - Hạnh phúc</w:t>
            </w:r>
          </w:p>
        </w:tc>
      </w:tr>
      <w:tr w:rsidR="00D27913" w:rsidRPr="000D2B40" w:rsidTr="00A0367B">
        <w:trPr>
          <w:trHeight w:val="361"/>
        </w:trPr>
        <w:tc>
          <w:tcPr>
            <w:tcW w:w="3107" w:type="dxa"/>
            <w:shd w:val="clear" w:color="auto" w:fill="auto"/>
          </w:tcPr>
          <w:p w:rsidR="00D27913" w:rsidRPr="000D2B40" w:rsidRDefault="00D27913" w:rsidP="00A0367B">
            <w:pPr>
              <w:jc w:val="center"/>
              <w:rPr>
                <w:b/>
                <w:color w:val="auto"/>
                <w:szCs w:val="26"/>
              </w:rPr>
            </w:pPr>
            <w:r w:rsidRPr="000D2B40">
              <w:rPr>
                <w:color w:val="auto"/>
                <w:szCs w:val="28"/>
              </w:rPr>
              <w:t>Số: 34 /BC-</w:t>
            </w:r>
            <w:r>
              <w:rPr>
                <w:color w:val="auto"/>
                <w:szCs w:val="28"/>
              </w:rPr>
              <w:t>BKTXH</w:t>
            </w:r>
          </w:p>
        </w:tc>
        <w:tc>
          <w:tcPr>
            <w:tcW w:w="6650" w:type="dxa"/>
            <w:shd w:val="clear" w:color="auto" w:fill="auto"/>
          </w:tcPr>
          <w:p w:rsidR="00D27913" w:rsidRPr="000D2B40" w:rsidRDefault="00D27913" w:rsidP="00A0367B">
            <w:pPr>
              <w:jc w:val="center"/>
              <w:rPr>
                <w:b/>
                <w:color w:val="auto"/>
                <w:szCs w:val="26"/>
              </w:rPr>
            </w:pPr>
            <w:r w:rsidRPr="000D2B40">
              <w:rPr>
                <w:i/>
                <w:color w:val="auto"/>
                <w:szCs w:val="28"/>
              </w:rPr>
              <w:t>Sa Thầy, ngày 20 tháng 7 năm 2017</w:t>
            </w:r>
          </w:p>
        </w:tc>
      </w:tr>
    </w:tbl>
    <w:p w:rsidR="00D27913" w:rsidRPr="000D2B40" w:rsidRDefault="00D27913" w:rsidP="00D27913">
      <w:pPr>
        <w:rPr>
          <w:color w:val="auto"/>
          <w:szCs w:val="28"/>
        </w:rPr>
      </w:pPr>
      <w:r w:rsidRPr="000D2B40">
        <w:rPr>
          <w:b/>
          <w:color w:val="auto"/>
          <w:szCs w:val="26"/>
        </w:rPr>
        <w:t xml:space="preserve">     </w:t>
      </w:r>
      <w:r w:rsidRPr="000D2B40">
        <w:rPr>
          <w:color w:val="auto"/>
          <w:szCs w:val="28"/>
        </w:rPr>
        <w:t xml:space="preserve">       </w:t>
      </w:r>
      <w:r w:rsidRPr="000D2B40">
        <w:rPr>
          <w:color w:val="auto"/>
          <w:szCs w:val="28"/>
        </w:rPr>
        <w:tab/>
        <w:t xml:space="preserve">                    </w:t>
      </w:r>
    </w:p>
    <w:p w:rsidR="00D27913" w:rsidRPr="000D2B40" w:rsidRDefault="00D27913" w:rsidP="00D27913">
      <w:pPr>
        <w:jc w:val="center"/>
        <w:rPr>
          <w:b/>
          <w:color w:val="auto"/>
          <w:szCs w:val="28"/>
        </w:rPr>
      </w:pPr>
      <w:r w:rsidRPr="000D2B40">
        <w:rPr>
          <w:b/>
          <w:color w:val="auto"/>
          <w:szCs w:val="28"/>
        </w:rPr>
        <w:t>BÁO CÁO THẨM TRA</w:t>
      </w:r>
    </w:p>
    <w:p w:rsidR="00D27913" w:rsidRPr="000D2B40" w:rsidRDefault="00D27913" w:rsidP="00D27913">
      <w:pPr>
        <w:jc w:val="center"/>
        <w:rPr>
          <w:b/>
          <w:color w:val="auto"/>
          <w:szCs w:val="28"/>
        </w:rPr>
      </w:pPr>
      <w:r w:rsidRPr="000D2B40">
        <w:rPr>
          <w:b/>
          <w:color w:val="auto"/>
          <w:szCs w:val="28"/>
        </w:rPr>
        <w:t>Dự thảo Nghị quyết về thông qua phương án sắp xếp hệ thống trường, lớp học huyện Sa Thầy giai đoạn 2016 - 2020, định hướng đến 2025</w:t>
      </w:r>
    </w:p>
    <w:p w:rsidR="00D27913" w:rsidRPr="000D2B40" w:rsidRDefault="00D27913" w:rsidP="00D27913">
      <w:pPr>
        <w:ind w:firstLine="720"/>
        <w:jc w:val="both"/>
        <w:rPr>
          <w:color w:val="auto"/>
          <w:szCs w:val="28"/>
          <w:lang w:val="nl-NL"/>
        </w:rPr>
      </w:pPr>
      <w:r>
        <w:rPr>
          <w:noProof/>
          <w:color w:val="auto"/>
          <w:szCs w:val="28"/>
        </w:rPr>
        <w:pict>
          <v:shape id="_x0000_s1028" type="#_x0000_t32" style="position:absolute;left:0;text-align:left;margin-left:210.85pt;margin-top:1.95pt;width:74.5pt;height:0;z-index:251662336" o:connectortype="straight"/>
        </w:pict>
      </w:r>
    </w:p>
    <w:p w:rsidR="00D27913" w:rsidRPr="000D2B40" w:rsidRDefault="00D27913" w:rsidP="00D27913">
      <w:pPr>
        <w:ind w:firstLine="720"/>
        <w:jc w:val="both"/>
        <w:rPr>
          <w:color w:val="auto"/>
          <w:sz w:val="12"/>
          <w:szCs w:val="28"/>
          <w:lang w:val="nl-NL"/>
        </w:rPr>
      </w:pPr>
    </w:p>
    <w:p w:rsidR="00D27913" w:rsidRPr="000D2B40" w:rsidRDefault="00D27913" w:rsidP="00D27913">
      <w:pPr>
        <w:spacing w:before="120" w:after="120"/>
        <w:ind w:firstLine="720"/>
        <w:jc w:val="both"/>
        <w:rPr>
          <w:color w:val="auto"/>
          <w:szCs w:val="28"/>
          <w:lang w:val="nl-NL"/>
        </w:rPr>
      </w:pPr>
      <w:r w:rsidRPr="000D2B40">
        <w:rPr>
          <w:color w:val="auto"/>
          <w:szCs w:val="28"/>
          <w:lang w:val="nl-NL"/>
        </w:rPr>
        <w:t>Căn cứ Luật Tổ chức Chính quyền địa phương ngày 19/6/2015;</w:t>
      </w:r>
    </w:p>
    <w:p w:rsidR="00D27913" w:rsidRPr="000D2B40" w:rsidRDefault="00D27913" w:rsidP="00D27913">
      <w:pPr>
        <w:spacing w:before="120" w:after="120"/>
        <w:ind w:firstLine="720"/>
        <w:jc w:val="both"/>
        <w:rPr>
          <w:color w:val="auto"/>
          <w:szCs w:val="28"/>
          <w:lang w:val="nl-NL"/>
        </w:rPr>
      </w:pPr>
      <w:r w:rsidRPr="000D2B40">
        <w:rPr>
          <w:color w:val="auto"/>
          <w:szCs w:val="28"/>
          <w:lang w:val="nl-NL"/>
        </w:rPr>
        <w:t>Căn cứ Luật Ban hành văn bản quy phạm pháp luật ngày 06/7/2015;</w:t>
      </w:r>
    </w:p>
    <w:p w:rsidR="00D27913" w:rsidRPr="000D2B40" w:rsidRDefault="00D27913" w:rsidP="00D27913">
      <w:pPr>
        <w:spacing w:before="120" w:after="120"/>
        <w:ind w:firstLine="720"/>
        <w:jc w:val="both"/>
        <w:rPr>
          <w:color w:val="auto"/>
          <w:szCs w:val="28"/>
          <w:lang w:val="nl-NL"/>
        </w:rPr>
      </w:pPr>
      <w:r w:rsidRPr="000D2B40">
        <w:rPr>
          <w:color w:val="auto"/>
          <w:szCs w:val="28"/>
          <w:lang w:val="nl-NL"/>
        </w:rPr>
        <w:t>Thực hiện Công văn số 29/HĐND-TH ngày 06/7/2017 của Thường trực Hội đồng nhân dân huyện về phân công thẩm tra các nội dung kỳ họp thứ tư, HĐND huyện khóa X, nhiệm kỳ 2016 - 2021;</w:t>
      </w:r>
    </w:p>
    <w:p w:rsidR="00D27913" w:rsidRPr="000D2B40" w:rsidRDefault="00D27913" w:rsidP="00D27913">
      <w:pPr>
        <w:spacing w:before="120" w:after="120"/>
        <w:ind w:firstLine="720"/>
        <w:jc w:val="both"/>
        <w:rPr>
          <w:color w:val="auto"/>
          <w:szCs w:val="28"/>
          <w:lang w:val="nl-NL"/>
        </w:rPr>
      </w:pPr>
      <w:r w:rsidRPr="000D2B40">
        <w:rPr>
          <w:color w:val="auto"/>
          <w:szCs w:val="28"/>
          <w:lang w:val="nl-NL"/>
        </w:rPr>
        <w:t>Trên cơ sở Tờ trình số 126/TTr-UBND ngày 27/6/2017 của Ủy ban nhân dân huyện về việc đề nghị thông qua phương án sắp xếp trường lớp học huyện Sa Thầy giai đoạn 2016 - 2020, định hướng đến 2025,</w:t>
      </w:r>
    </w:p>
    <w:p w:rsidR="00D27913" w:rsidRPr="000D2B40" w:rsidRDefault="00D27913" w:rsidP="00D27913">
      <w:pPr>
        <w:spacing w:before="120" w:after="120"/>
        <w:ind w:firstLine="720"/>
        <w:jc w:val="both"/>
        <w:rPr>
          <w:color w:val="auto"/>
          <w:spacing w:val="-4"/>
          <w:szCs w:val="28"/>
          <w:lang w:val="nl-NL"/>
        </w:rPr>
      </w:pPr>
      <w:r w:rsidRPr="000D2B40">
        <w:rPr>
          <w:color w:val="auto"/>
          <w:szCs w:val="28"/>
          <w:lang w:val="nl-NL"/>
        </w:rPr>
        <w:t xml:space="preserve">Ban Kinh tế - Xã hội Hội đồng nhân dân huyện đã họp thẩm tra dự thảo Nghị quyết </w:t>
      </w:r>
      <w:r w:rsidRPr="000D2B40">
        <w:rPr>
          <w:color w:val="auto"/>
          <w:szCs w:val="28"/>
        </w:rPr>
        <w:t>về thông qua phương án sắp xếp hệ thống trường, lớp học huyện Sa Thầy giai đoạn 2016 - 2020, định hướng đến 2025</w:t>
      </w:r>
      <w:r w:rsidRPr="000D2B40">
        <w:rPr>
          <w:color w:val="auto"/>
          <w:spacing w:val="-4"/>
          <w:szCs w:val="28"/>
          <w:lang w:val="nl-NL"/>
        </w:rPr>
        <w:t xml:space="preserve">. Qua ý kiến tham gia của thành viên Ban và các cơ quan liên quan, </w:t>
      </w:r>
      <w:r w:rsidRPr="000D2B40">
        <w:rPr>
          <w:color w:val="auto"/>
          <w:szCs w:val="28"/>
          <w:lang w:val="nl-NL"/>
        </w:rPr>
        <w:t xml:space="preserve">Ban ý kiến như sau: </w:t>
      </w:r>
    </w:p>
    <w:p w:rsidR="00D27913" w:rsidRPr="000D2B40" w:rsidRDefault="00D27913" w:rsidP="00D27913">
      <w:pPr>
        <w:spacing w:before="120" w:after="120"/>
        <w:ind w:firstLine="720"/>
        <w:jc w:val="both"/>
        <w:rPr>
          <w:b/>
          <w:color w:val="auto"/>
          <w:szCs w:val="28"/>
        </w:rPr>
      </w:pPr>
      <w:r w:rsidRPr="000D2B40">
        <w:rPr>
          <w:b/>
          <w:color w:val="auto"/>
          <w:szCs w:val="28"/>
        </w:rPr>
        <w:t>1</w:t>
      </w:r>
      <w:r w:rsidRPr="000D2B40">
        <w:rPr>
          <w:b/>
          <w:color w:val="auto"/>
          <w:szCs w:val="28"/>
          <w:lang w:val="vi-VN"/>
        </w:rPr>
        <w:t>. Về nội dung dự thảo Nghị quyết</w:t>
      </w:r>
      <w:r w:rsidRPr="000D2B40">
        <w:rPr>
          <w:b/>
          <w:color w:val="auto"/>
          <w:szCs w:val="28"/>
        </w:rPr>
        <w:t xml:space="preserve"> </w:t>
      </w:r>
    </w:p>
    <w:p w:rsidR="00D27913" w:rsidRPr="000D2B40" w:rsidRDefault="00D27913" w:rsidP="00D27913">
      <w:pPr>
        <w:spacing w:before="120" w:after="120"/>
        <w:ind w:firstLine="720"/>
        <w:jc w:val="both"/>
        <w:rPr>
          <w:color w:val="auto"/>
          <w:szCs w:val="28"/>
        </w:rPr>
      </w:pPr>
      <w:r w:rsidRPr="000D2B40">
        <w:rPr>
          <w:b/>
          <w:color w:val="auto"/>
          <w:szCs w:val="28"/>
        </w:rPr>
        <w:t>1.1. Về căn cứ pháp lý</w:t>
      </w:r>
    </w:p>
    <w:p w:rsidR="00D27913" w:rsidRPr="000D2B40" w:rsidRDefault="00D27913" w:rsidP="00D27913">
      <w:pPr>
        <w:spacing w:before="120" w:after="120"/>
        <w:ind w:firstLine="720"/>
        <w:jc w:val="both"/>
        <w:rPr>
          <w:color w:val="auto"/>
          <w:szCs w:val="28"/>
        </w:rPr>
      </w:pPr>
      <w:r w:rsidRPr="000D2B40">
        <w:rPr>
          <w:color w:val="auto"/>
          <w:szCs w:val="28"/>
        </w:rPr>
        <w:t xml:space="preserve">- Dự thảo Nghị quyết đã được xây dựng trên nhiều văn bản quy phạm pháp luật có giá trị pháp lý cao. Tuy nhiên, có 02 căn cứ là Quyết định số 14/2008/QĐ-BGDĐT ngày 07/4/2008của Bộ Giáo dục &amp; Đào tạo ban hành Điều lệ trường mầm non và Thông tư số 41/2010/TT-BGDĐT ngày 30/12/2010 của Bộ Giáo dục &amp; Đào tạo ban hành Điều lệ trường tiểu học đã được sử đổi, bổ sung bằng nhiều văn bản pháp lý khác. Hiện nay, Bộ Giáo dục &amp; Đào tạo đã có nhiều văn bản hợp nhất để quyết định ban hành Điều lệ các trường như: Văn bản hợp nhất số 03/VBHN-BGDĐT ngày 22/01/2014 Thông tư ban hành Điều lệ trường tiểu học; Văn bản hợp nhất số 04/VBHN-BGDĐT ngày 24/12/2015 Quyết định ban hành Điều lệ trường Mầm non. </w:t>
      </w:r>
    </w:p>
    <w:p w:rsidR="00D27913" w:rsidRPr="000D2B40" w:rsidRDefault="00D27913" w:rsidP="00D27913">
      <w:pPr>
        <w:spacing w:before="120" w:after="120"/>
        <w:ind w:firstLine="720"/>
        <w:jc w:val="both"/>
        <w:rPr>
          <w:color w:val="auto"/>
          <w:szCs w:val="28"/>
          <w:shd w:val="clear" w:color="auto" w:fill="FFFFFF"/>
        </w:rPr>
      </w:pPr>
      <w:r w:rsidRPr="000D2B40">
        <w:rPr>
          <w:color w:val="auto"/>
          <w:szCs w:val="28"/>
          <w:shd w:val="clear" w:color="auto" w:fill="FFFFFF"/>
        </w:rPr>
        <w:t>Ban</w:t>
      </w:r>
      <w:r w:rsidRPr="000D2B40">
        <w:rPr>
          <w:color w:val="auto"/>
          <w:szCs w:val="28"/>
        </w:rPr>
        <w:t xml:space="preserve"> đề nghị</w:t>
      </w:r>
      <w:r w:rsidRPr="000D2B40">
        <w:rPr>
          <w:color w:val="auto"/>
          <w:szCs w:val="28"/>
          <w:shd w:val="clear" w:color="auto" w:fill="FFFFFF"/>
        </w:rPr>
        <w:t xml:space="preserve"> bổ sung Văn bản hợp nhất số </w:t>
      </w:r>
      <w:r w:rsidRPr="000D2B40">
        <w:rPr>
          <w:color w:val="auto"/>
          <w:szCs w:val="28"/>
        </w:rPr>
        <w:t>03/VBHN-BGDĐT ngày 22/01/2014, Văn bản hợp nhất số 04/VBHN-BGDĐT ngày 24/12/2015</w:t>
      </w:r>
      <w:r w:rsidRPr="000D2B40">
        <w:rPr>
          <w:color w:val="auto"/>
          <w:szCs w:val="28"/>
          <w:shd w:val="clear" w:color="auto" w:fill="FFFFFF"/>
        </w:rPr>
        <w:t xml:space="preserve"> </w:t>
      </w:r>
      <w:r w:rsidRPr="000D2B40">
        <w:rPr>
          <w:color w:val="auto"/>
          <w:szCs w:val="28"/>
        </w:rPr>
        <w:t xml:space="preserve">và </w:t>
      </w:r>
      <w:r w:rsidRPr="000D2B40">
        <w:rPr>
          <w:color w:val="auto"/>
          <w:szCs w:val="28"/>
          <w:shd w:val="clear" w:color="auto" w:fill="FFFFFF"/>
        </w:rPr>
        <w:t xml:space="preserve">Quyết định số 891/QĐ-UBND ngày 31/10/2013 của UBND tỉnh Kon Tum Phê duyệt Quy hoạch tổng thể phát triển kinh tế - xã hội huyện Sa Thầy đến năm 2020, định hướng đến năm 2025 </w:t>
      </w:r>
      <w:r w:rsidRPr="000D2B40">
        <w:rPr>
          <w:color w:val="auto"/>
          <w:szCs w:val="28"/>
        </w:rPr>
        <w:t>vào phần căn cứ pháp lý ban hành Nghị quyết.</w:t>
      </w:r>
    </w:p>
    <w:p w:rsidR="00D27913" w:rsidRPr="000D2B40" w:rsidRDefault="00D27913" w:rsidP="00D27913">
      <w:pPr>
        <w:pStyle w:val="NormalWeb"/>
        <w:shd w:val="clear" w:color="auto" w:fill="FFFFFF"/>
        <w:spacing w:before="120" w:after="120"/>
        <w:ind w:firstLine="720"/>
        <w:jc w:val="both"/>
        <w:rPr>
          <w:rFonts w:ascii="Times New Roman" w:hAnsi="Times New Roman"/>
          <w:color w:val="auto"/>
          <w:sz w:val="28"/>
          <w:szCs w:val="28"/>
        </w:rPr>
      </w:pPr>
      <w:r w:rsidRPr="000D2B40">
        <w:rPr>
          <w:rFonts w:ascii="Times New Roman" w:hAnsi="Times New Roman"/>
          <w:color w:val="auto"/>
          <w:sz w:val="28"/>
          <w:szCs w:val="28"/>
        </w:rPr>
        <w:t>- Tại Khoản 1, Điều 61 của Nghị định số 34/2016/NĐ-CP ngày 14/5/2016 của Chính phủ Quy định chi tiết một số điều và biện pháp thi hành Luật ban hành văn bản quy phạm pháp luật quy định:</w:t>
      </w:r>
      <w:r w:rsidRPr="000D2B40">
        <w:rPr>
          <w:rFonts w:ascii="Times New Roman" w:hAnsi="Times New Roman"/>
          <w:color w:val="auto"/>
        </w:rPr>
        <w:t xml:space="preserve"> </w:t>
      </w:r>
      <w:r w:rsidRPr="000D2B40">
        <w:rPr>
          <w:rFonts w:ascii="Times New Roman" w:hAnsi="Times New Roman"/>
          <w:color w:val="auto"/>
          <w:sz w:val="28"/>
          <w:szCs w:val="28"/>
        </w:rPr>
        <w:t>“</w:t>
      </w:r>
      <w:r w:rsidRPr="000D2B40">
        <w:rPr>
          <w:rFonts w:ascii="Times New Roman" w:hAnsi="Times New Roman"/>
          <w:i/>
          <w:color w:val="auto"/>
          <w:sz w:val="28"/>
          <w:szCs w:val="28"/>
          <w:lang w:val="vi-VN"/>
        </w:rPr>
        <w:t xml:space="preserve">Căn cứ ban hành văn bản là văn bản quy </w:t>
      </w:r>
      <w:r w:rsidRPr="000D2B40">
        <w:rPr>
          <w:rFonts w:ascii="Times New Roman" w:hAnsi="Times New Roman"/>
          <w:i/>
          <w:color w:val="auto"/>
          <w:sz w:val="28"/>
          <w:szCs w:val="28"/>
          <w:lang w:val="vi-VN"/>
        </w:rPr>
        <w:lastRenderedPageBreak/>
        <w:t>phạm pháp luật có hiệu lực pháp lý cao hơn đang có hiệu lực hoặc đã được công b</w:t>
      </w:r>
      <w:r w:rsidRPr="000D2B40">
        <w:rPr>
          <w:rFonts w:ascii="Times New Roman" w:hAnsi="Times New Roman"/>
          <w:i/>
          <w:color w:val="auto"/>
          <w:sz w:val="28"/>
          <w:szCs w:val="28"/>
        </w:rPr>
        <w:t>ố</w:t>
      </w:r>
      <w:r w:rsidRPr="000D2B40">
        <w:rPr>
          <w:rFonts w:ascii="Times New Roman" w:hAnsi="Times New Roman"/>
          <w:i/>
          <w:color w:val="auto"/>
          <w:sz w:val="28"/>
          <w:szCs w:val="28"/>
          <w:lang w:val="vi-VN"/>
        </w:rPr>
        <w:t> hoặc ký ban hành chưa có hiệu lực nhưng phải có hiệu lực trước hoặc cùng thời điểm với văn bản được ban hành. Căn cứ ban hành văn bản bao gồm văn bản quy phạm pháp l</w:t>
      </w:r>
      <w:r w:rsidRPr="000D2B40">
        <w:rPr>
          <w:rFonts w:ascii="Times New Roman" w:hAnsi="Times New Roman"/>
          <w:i/>
          <w:color w:val="auto"/>
          <w:sz w:val="28"/>
          <w:szCs w:val="28"/>
        </w:rPr>
        <w:t>u</w:t>
      </w:r>
      <w:r w:rsidRPr="000D2B40">
        <w:rPr>
          <w:rFonts w:ascii="Times New Roman" w:hAnsi="Times New Roman"/>
          <w:i/>
          <w:color w:val="auto"/>
          <w:sz w:val="28"/>
          <w:szCs w:val="28"/>
          <w:lang w:val="vi-VN"/>
        </w:rPr>
        <w:t>ật quy định thẩm quyền, chức năng của cơ quan ban hành văn bản đó và văn bản quy phạm pháp luật có hiệu lực pháp lý cao hơn quy định nội dung, cơ sở đ</w:t>
      </w:r>
      <w:r w:rsidRPr="000D2B40">
        <w:rPr>
          <w:rFonts w:ascii="Times New Roman" w:hAnsi="Times New Roman"/>
          <w:i/>
          <w:color w:val="auto"/>
          <w:sz w:val="28"/>
          <w:szCs w:val="28"/>
        </w:rPr>
        <w:t>ể</w:t>
      </w:r>
      <w:r w:rsidRPr="000D2B40">
        <w:rPr>
          <w:rFonts w:ascii="Times New Roman" w:hAnsi="Times New Roman"/>
          <w:i/>
          <w:color w:val="auto"/>
          <w:sz w:val="28"/>
          <w:szCs w:val="28"/>
          <w:lang w:val="vi-VN"/>
        </w:rPr>
        <w:t> ban hành văn bản</w:t>
      </w:r>
      <w:r w:rsidRPr="000D2B40">
        <w:rPr>
          <w:rFonts w:ascii="Times New Roman" w:hAnsi="Times New Roman"/>
          <w:color w:val="auto"/>
          <w:sz w:val="28"/>
          <w:szCs w:val="28"/>
        </w:rPr>
        <w:t>”</w:t>
      </w:r>
      <w:r w:rsidRPr="000D2B40">
        <w:rPr>
          <w:rFonts w:ascii="Times New Roman" w:hAnsi="Times New Roman"/>
          <w:color w:val="auto"/>
          <w:sz w:val="28"/>
          <w:szCs w:val="28"/>
          <w:lang w:val="vi-VN"/>
        </w:rPr>
        <w:t>.</w:t>
      </w:r>
      <w:r w:rsidRPr="000D2B40">
        <w:rPr>
          <w:rFonts w:ascii="Times New Roman" w:hAnsi="Times New Roman"/>
          <w:color w:val="auto"/>
          <w:sz w:val="28"/>
          <w:szCs w:val="28"/>
        </w:rPr>
        <w:t xml:space="preserve"> Như vậy, Nghị quyết của Đảng không phải là căn cứ pháp lý để ban hành Nghị quyết của HĐND.</w:t>
      </w:r>
    </w:p>
    <w:p w:rsidR="00D27913" w:rsidRPr="000D2B40" w:rsidRDefault="00D27913" w:rsidP="00D27913">
      <w:pPr>
        <w:spacing w:before="120" w:after="120"/>
        <w:ind w:firstLine="720"/>
        <w:jc w:val="both"/>
        <w:rPr>
          <w:color w:val="auto"/>
          <w:szCs w:val="28"/>
        </w:rPr>
      </w:pPr>
      <w:r w:rsidRPr="000D2B40">
        <w:rPr>
          <w:color w:val="auto"/>
          <w:szCs w:val="28"/>
        </w:rPr>
        <w:t>Do đó, Ban đề nghị cơ quan chủ trì biên tập lại căn cứ ban hành Nghị quyết, cụ thể: thay từ “</w:t>
      </w:r>
      <w:r w:rsidRPr="000D2B40">
        <w:rPr>
          <w:i/>
          <w:color w:val="auto"/>
          <w:szCs w:val="28"/>
        </w:rPr>
        <w:t>Căn cứ</w:t>
      </w:r>
      <w:r w:rsidRPr="000D2B40">
        <w:rPr>
          <w:color w:val="auto"/>
          <w:szCs w:val="28"/>
        </w:rPr>
        <w:t xml:space="preserve"> Nghị quyết số 05-NQ/TU, Nghị quyết Đại hội Đảng bộ huyện, Nghị quyết số 04-NQ/HU của BCH Đảng bộ huyện…” thành “</w:t>
      </w:r>
      <w:r w:rsidRPr="000D2B40">
        <w:rPr>
          <w:i/>
          <w:color w:val="auto"/>
          <w:szCs w:val="28"/>
        </w:rPr>
        <w:t>Thực hiện</w:t>
      </w:r>
      <w:r w:rsidRPr="000D2B40">
        <w:rPr>
          <w:color w:val="auto"/>
          <w:szCs w:val="28"/>
        </w:rPr>
        <w:t xml:space="preserve"> Nghị quyết số 05-NQ/TU của Tỉnh ủy, Nghị quyết Đại hội Đảng bộ huyện, Nghị quyết số 04-NQ/HU của BCH Đảng bộ huyện …” để đảm bảo về kỹ thuật soạn thảo văn bản và tinh thần chỉ đạo của Cấp ủy đối với công tác phát triển giáo dục trên địa bàn huyện.</w:t>
      </w:r>
    </w:p>
    <w:p w:rsidR="00D27913" w:rsidRPr="000D2B40" w:rsidRDefault="00D27913" w:rsidP="00D27913">
      <w:pPr>
        <w:spacing w:before="120" w:after="120"/>
        <w:ind w:firstLine="567"/>
        <w:jc w:val="both"/>
        <w:rPr>
          <w:b/>
          <w:color w:val="auto"/>
          <w:szCs w:val="28"/>
        </w:rPr>
      </w:pPr>
      <w:r w:rsidRPr="000D2B40">
        <w:rPr>
          <w:color w:val="auto"/>
          <w:szCs w:val="28"/>
        </w:rPr>
        <w:tab/>
      </w:r>
      <w:r w:rsidRPr="000D2B40">
        <w:rPr>
          <w:b/>
          <w:color w:val="auto"/>
          <w:szCs w:val="28"/>
        </w:rPr>
        <w:t>1.2. Về nội dung dự thảo Nghị quyết</w:t>
      </w:r>
    </w:p>
    <w:p w:rsidR="00D27913" w:rsidRPr="000D2B40" w:rsidRDefault="00D27913" w:rsidP="00D27913">
      <w:pPr>
        <w:spacing w:before="120" w:after="120"/>
        <w:ind w:firstLine="567"/>
        <w:jc w:val="both"/>
        <w:rPr>
          <w:color w:val="auto"/>
          <w:szCs w:val="28"/>
        </w:rPr>
      </w:pPr>
      <w:r w:rsidRPr="000D2B40">
        <w:rPr>
          <w:color w:val="auto"/>
          <w:szCs w:val="28"/>
        </w:rPr>
        <w:tab/>
        <w:t>- Dự thảo Nghị quyết đã nêu lên quan điểm thực hiện sắp xếp mạng lưới trường, lớp học theo quan điểm chỉ đạo của Đảng, Nhà nước, Bộ Giáo dục &amp; Đào tạo. Tuy nhiên, Ban đề nghị cơ quan tham mưu cần làm rõ hơn quan điểm, chủ trương của huyện đối với việc sắp xếp mạng lưới trường, lớp hiện nay như tinh gọn hệ thống điểm trường lẻ, hạn chế tối đa việc tổ chức lớp ghép hai trình độ, nâng dần số học sinh/lớp theo đúng quy định…</w:t>
      </w:r>
    </w:p>
    <w:p w:rsidR="00D27913" w:rsidRPr="000D2B40" w:rsidRDefault="00D27913" w:rsidP="00D27913">
      <w:pPr>
        <w:spacing w:before="120" w:after="120"/>
        <w:ind w:firstLine="567"/>
        <w:jc w:val="both"/>
        <w:rPr>
          <w:color w:val="auto"/>
          <w:szCs w:val="28"/>
        </w:rPr>
      </w:pPr>
      <w:r w:rsidRPr="000D2B40">
        <w:rPr>
          <w:color w:val="auto"/>
          <w:szCs w:val="28"/>
        </w:rPr>
        <w:t xml:space="preserve"> </w:t>
      </w:r>
      <w:r w:rsidRPr="000D2B40">
        <w:rPr>
          <w:color w:val="auto"/>
          <w:szCs w:val="28"/>
        </w:rPr>
        <w:tab/>
        <w:t>- Ban thống nhất với mục tiêu chung và mục tiêu cụ thể trong dự thảo Nghị quyết, tuy nhiên đề nghị biên tập lại một số nội dung:</w:t>
      </w:r>
    </w:p>
    <w:p w:rsidR="00D27913" w:rsidRPr="000D2B40" w:rsidRDefault="00D27913" w:rsidP="00D27913">
      <w:pPr>
        <w:spacing w:before="120" w:after="120"/>
        <w:ind w:firstLine="720"/>
        <w:jc w:val="both"/>
        <w:rPr>
          <w:color w:val="auto"/>
          <w:szCs w:val="28"/>
        </w:rPr>
      </w:pPr>
      <w:r w:rsidRPr="000D2B40">
        <w:rPr>
          <w:color w:val="auto"/>
          <w:szCs w:val="28"/>
        </w:rPr>
        <w:t>+ Mục tiêu cụ thể số 5 trong mục 3.1. Giáo dục mầm non: “Xây dựng 05 trường đạt chuẩn quốc gia mức độ 1 gồm: Mầm non Hoa Sen xã Sa Nghĩa, Mầm non Sao Mai xã Sa Sơn, Mầm non Vành Khuyên xã Ya Xiêr, Mầm non Chin Non xã Ya Ly, Mầm non Sơn Ca xã Hơ Moong”.</w:t>
      </w:r>
    </w:p>
    <w:p w:rsidR="00D27913" w:rsidRPr="000D2B40" w:rsidRDefault="00D27913" w:rsidP="00D27913">
      <w:pPr>
        <w:spacing w:before="120" w:after="120"/>
        <w:ind w:firstLine="720"/>
        <w:jc w:val="both"/>
        <w:rPr>
          <w:color w:val="auto"/>
          <w:szCs w:val="28"/>
        </w:rPr>
      </w:pPr>
      <w:r w:rsidRPr="000D2B40">
        <w:rPr>
          <w:color w:val="auto"/>
          <w:szCs w:val="28"/>
        </w:rPr>
        <w:t>+ Mục tiêu cụ thể số 5 trong mục 3.2. Giáo dục phổ thông: “Xây dựng 04 trường tiểu học đạt chuẩn quốc gia mức độ 1, gồm: Tiểu học Trần phú xã Sa Nghĩa, Tiểu học Lê Văn Tám xã Sa Bình, Tiểu học Lê Lợi xã Ya Xiêr, Tiểu học số 1 xã Ya Xiêr; Duy trì và nâng cao mức độ đạt chuẩn đối với các trường Tiểu học Sa Nhơn, Tiểu học Rờ Kơi, Tiểu học Nguyễn Bá Ngọc (xã Sa Bình), Tiểu học Kim Đồng (xã Sa Sơn), Tiểu học Lê Hồng Phong (thị trấn Sa Thầy)”.</w:t>
      </w:r>
    </w:p>
    <w:p w:rsidR="00D27913" w:rsidRPr="000D2B40" w:rsidRDefault="00D27913" w:rsidP="00D27913">
      <w:pPr>
        <w:spacing w:before="120" w:after="120"/>
        <w:ind w:firstLine="720"/>
        <w:jc w:val="both"/>
        <w:rPr>
          <w:color w:val="auto"/>
          <w:szCs w:val="28"/>
        </w:rPr>
      </w:pPr>
      <w:r w:rsidRPr="000D2B40">
        <w:rPr>
          <w:color w:val="auto"/>
          <w:szCs w:val="28"/>
        </w:rPr>
        <w:t>- Về nội dung phương án sắp xếp lại:</w:t>
      </w:r>
    </w:p>
    <w:p w:rsidR="00D27913" w:rsidRPr="000D2B40" w:rsidRDefault="00D27913" w:rsidP="00D27913">
      <w:pPr>
        <w:spacing w:before="120" w:after="120"/>
        <w:ind w:firstLine="720"/>
        <w:jc w:val="both"/>
        <w:rPr>
          <w:color w:val="auto"/>
          <w:szCs w:val="28"/>
        </w:rPr>
      </w:pPr>
      <w:r w:rsidRPr="000D2B40">
        <w:rPr>
          <w:color w:val="auto"/>
          <w:szCs w:val="28"/>
        </w:rPr>
        <w:t>Qua quá trình tham gia giám sát với Đoàn giám sát của HĐND huyện về công tác quy hoạch mạng lưới trường lớp học trên địa bàn huyện và qua việc kiểm tra, khảo sát thực tế tại một số xã, thị trấn. Ban KTXH thống nhất với nội dung phương án sắp xếp hệ thống trường, lớp giai đoạn 2016 - 2020, định hướng đến năm 2025 trong dự thảo Nghị quyết.</w:t>
      </w:r>
    </w:p>
    <w:p w:rsidR="00D27913" w:rsidRPr="000D2B40" w:rsidRDefault="00D27913" w:rsidP="00D27913">
      <w:pPr>
        <w:spacing w:before="120" w:after="120"/>
        <w:ind w:firstLine="720"/>
        <w:jc w:val="both"/>
        <w:rPr>
          <w:color w:val="auto"/>
          <w:szCs w:val="28"/>
          <w:lang w:val="nl-NL"/>
        </w:rPr>
      </w:pPr>
      <w:r w:rsidRPr="000D2B40">
        <w:rPr>
          <w:b/>
          <w:color w:val="auto"/>
          <w:szCs w:val="28"/>
        </w:rPr>
        <w:lastRenderedPageBreak/>
        <w:t>2</w:t>
      </w:r>
      <w:r w:rsidRPr="000D2B40">
        <w:rPr>
          <w:b/>
          <w:color w:val="auto"/>
          <w:szCs w:val="28"/>
          <w:lang w:val="vi-VN"/>
        </w:rPr>
        <w:t>.</w:t>
      </w:r>
      <w:r w:rsidRPr="000D2B40">
        <w:rPr>
          <w:color w:val="auto"/>
          <w:szCs w:val="28"/>
          <w:lang w:val="vi-VN"/>
        </w:rPr>
        <w:t xml:space="preserve"> </w:t>
      </w:r>
      <w:r w:rsidRPr="000D2B40">
        <w:rPr>
          <w:b/>
          <w:color w:val="auto"/>
          <w:szCs w:val="28"/>
          <w:lang w:val="vi-VN"/>
        </w:rPr>
        <w:t>Sự phù hợp của nội dung dự thảo nghị quyết với đường lối, chủ trương của Đảng, chính sách của Nhà nước và điều kiện phát triển kinh tế - xã hội của địa phương</w:t>
      </w:r>
    </w:p>
    <w:p w:rsidR="00D27913" w:rsidRPr="000D2B40" w:rsidRDefault="00D27913" w:rsidP="00D27913">
      <w:pPr>
        <w:spacing w:before="120" w:after="120"/>
        <w:ind w:firstLine="720"/>
        <w:jc w:val="both"/>
        <w:rPr>
          <w:color w:val="auto"/>
          <w:szCs w:val="28"/>
        </w:rPr>
      </w:pPr>
      <w:r w:rsidRPr="000D2B40">
        <w:rPr>
          <w:color w:val="auto"/>
          <w:szCs w:val="28"/>
        </w:rPr>
        <w:t>Nội dung của Dự thảo Nghị quyết được xây dựng trên cơ sở các văn bản pháp lý của Chính phủ và địa phương, trong đó đã tổ chức rà soát lại hệ thống trường, lớp học trên địa bàn, sắp xếp lại hệ thống trường, lớp học phù hợp với tình hình thực tế của huyện. Những căn cứ và nội dung dự thảo Nghị quyết đã đảm bảo phù hợp đường lối, chủ trương của Đảng, chính sách của Nhà nước và phù hợp với điều kiện phát triển kinh tế - xã hội của địa phương.</w:t>
      </w:r>
    </w:p>
    <w:p w:rsidR="00D27913" w:rsidRPr="000D2B40" w:rsidRDefault="00D27913" w:rsidP="00D27913">
      <w:pPr>
        <w:spacing w:before="120" w:after="120"/>
        <w:ind w:firstLine="720"/>
        <w:jc w:val="both"/>
        <w:rPr>
          <w:b/>
          <w:color w:val="auto"/>
          <w:szCs w:val="28"/>
        </w:rPr>
      </w:pPr>
      <w:r w:rsidRPr="000D2B40">
        <w:rPr>
          <w:b/>
          <w:color w:val="auto"/>
          <w:szCs w:val="28"/>
          <w:lang w:val="vi-VN"/>
        </w:rPr>
        <w:t>3. Tính hợp hiến, tính hợp pháp và tính thống nhất của dự thảo nghị quyết với hệ thống pháp luật</w:t>
      </w:r>
    </w:p>
    <w:p w:rsidR="00D27913" w:rsidRPr="000D2B40" w:rsidRDefault="00D27913" w:rsidP="00D27913">
      <w:pPr>
        <w:spacing w:before="120" w:after="120"/>
        <w:ind w:firstLine="720"/>
        <w:jc w:val="both"/>
        <w:rPr>
          <w:color w:val="auto"/>
          <w:szCs w:val="28"/>
          <w:lang w:val="nl-NL"/>
        </w:rPr>
      </w:pPr>
      <w:r w:rsidRPr="000D2B40">
        <w:rPr>
          <w:color w:val="auto"/>
          <w:szCs w:val="28"/>
          <w:lang w:val="af-ZA"/>
        </w:rPr>
        <w:t>Dự thảo nghị quyết về</w:t>
      </w:r>
      <w:r w:rsidRPr="000D2B40">
        <w:rPr>
          <w:color w:val="auto"/>
          <w:szCs w:val="28"/>
        </w:rPr>
        <w:t xml:space="preserve"> </w:t>
      </w:r>
      <w:r w:rsidRPr="000D2B40">
        <w:rPr>
          <w:color w:val="auto"/>
          <w:szCs w:val="28"/>
          <w:lang w:val="af-ZA"/>
        </w:rPr>
        <w:t xml:space="preserve">việc thông qua </w:t>
      </w:r>
      <w:r w:rsidRPr="000D2B40">
        <w:rPr>
          <w:color w:val="auto"/>
          <w:szCs w:val="28"/>
        </w:rPr>
        <w:t>phương án sắp xếp hệ thống trường, lớp học huyện Sa Thầy giai đoạn 2016 - 2020, định hướng đến 2025</w:t>
      </w:r>
      <w:r w:rsidRPr="000D2B40">
        <w:rPr>
          <w:color w:val="auto"/>
          <w:szCs w:val="28"/>
          <w:lang w:val="nl-NL"/>
        </w:rPr>
        <w:t xml:space="preserve"> được xây dựng dựa trên các Luật: Luật ban hành văn bản quy phạm pháp luật năm 2015; Luật giáo dục năm 2005 (sửa đổi bổ sung năm 2009); các Quyết định của Thủ tướng Chính phủ, Nghị quyết HĐND tỉnh, Quyết định của UBND tỉnh và Nghị quyết của HĐND huyện. </w:t>
      </w:r>
    </w:p>
    <w:p w:rsidR="00D27913" w:rsidRPr="000D2B40" w:rsidRDefault="00D27913" w:rsidP="00D27913">
      <w:pPr>
        <w:spacing w:before="120" w:after="120"/>
        <w:ind w:firstLine="709"/>
        <w:jc w:val="both"/>
        <w:rPr>
          <w:i/>
          <w:color w:val="auto"/>
          <w:szCs w:val="28"/>
        </w:rPr>
      </w:pPr>
      <w:r w:rsidRPr="000D2B40">
        <w:rPr>
          <w:color w:val="auto"/>
          <w:szCs w:val="28"/>
        </w:rPr>
        <w:t>Căn cứ</w:t>
      </w:r>
      <w:r w:rsidRPr="000D2B40">
        <w:rPr>
          <w:color w:val="auto"/>
          <w:szCs w:val="28"/>
          <w:lang w:val="nl-NL"/>
        </w:rPr>
        <w:t xml:space="preserve"> </w:t>
      </w:r>
      <w:r w:rsidRPr="000D2B40">
        <w:rPr>
          <w:color w:val="auto"/>
          <w:szCs w:val="28"/>
        </w:rPr>
        <w:t xml:space="preserve">Khoản 3, Điều 26, Luật Tổ chức chính quyền địa phương năm 2015 quy định: </w:t>
      </w:r>
      <w:r w:rsidRPr="000D2B40">
        <w:rPr>
          <w:i/>
          <w:color w:val="auto"/>
          <w:szCs w:val="28"/>
        </w:rPr>
        <w:t>“Hội đồng nhân dân có nhiệm vụ quyết định biện pháp phát triển hệ thống giáo dục mầm non, tiểu học và trung học cơ sở…”.</w:t>
      </w:r>
    </w:p>
    <w:p w:rsidR="00D27913" w:rsidRPr="000D2B40" w:rsidRDefault="00D27913" w:rsidP="00D27913">
      <w:pPr>
        <w:spacing w:before="120" w:after="120"/>
        <w:ind w:firstLine="709"/>
        <w:jc w:val="both"/>
        <w:rPr>
          <w:i/>
          <w:color w:val="auto"/>
        </w:rPr>
      </w:pPr>
      <w:r w:rsidRPr="000D2B40">
        <w:rPr>
          <w:color w:val="auto"/>
          <w:szCs w:val="28"/>
        </w:rPr>
        <w:t xml:space="preserve">Căn cứ </w:t>
      </w:r>
      <w:r w:rsidRPr="000D2B40">
        <w:rPr>
          <w:color w:val="auto"/>
          <w:szCs w:val="28"/>
          <w:lang w:val="nl-NL"/>
        </w:rPr>
        <w:t>Điều 30, Luật ban hành văn bản qu</w:t>
      </w:r>
      <w:r w:rsidRPr="000D2B40">
        <w:rPr>
          <w:color w:val="auto"/>
          <w:szCs w:val="28"/>
        </w:rPr>
        <w:t>y</w:t>
      </w:r>
      <w:r w:rsidRPr="000D2B40">
        <w:rPr>
          <w:color w:val="auto"/>
          <w:szCs w:val="28"/>
          <w:lang w:val="nl-NL"/>
        </w:rPr>
        <w:t xml:space="preserve"> phạ</w:t>
      </w:r>
      <w:r w:rsidRPr="000D2B40">
        <w:rPr>
          <w:color w:val="auto"/>
          <w:szCs w:val="28"/>
        </w:rPr>
        <w:t>m</w:t>
      </w:r>
      <w:r w:rsidRPr="000D2B40">
        <w:rPr>
          <w:color w:val="auto"/>
          <w:szCs w:val="28"/>
          <w:lang w:val="nl-NL"/>
        </w:rPr>
        <w:t xml:space="preserve"> pháp luật năm 2015:</w:t>
      </w:r>
      <w:r w:rsidRPr="000D2B40">
        <w:rPr>
          <w:i/>
          <w:color w:val="auto"/>
          <w:szCs w:val="28"/>
          <w:lang w:val="nl-NL"/>
        </w:rPr>
        <w:t>“</w:t>
      </w:r>
      <w:r w:rsidRPr="000D2B40">
        <w:rPr>
          <w:i/>
          <w:color w:val="auto"/>
          <w:szCs w:val="28"/>
        </w:rPr>
        <w:t>Hội đồng nhân dân cấp huyện ban hành nghị quyết để quy định những vấn đề được luật giao”.</w:t>
      </w:r>
    </w:p>
    <w:p w:rsidR="00D27913" w:rsidRPr="000D2B40" w:rsidRDefault="00D27913" w:rsidP="00D27913">
      <w:pPr>
        <w:spacing w:before="120" w:after="120"/>
        <w:ind w:firstLine="720"/>
        <w:jc w:val="both"/>
        <w:rPr>
          <w:color w:val="auto"/>
          <w:szCs w:val="28"/>
        </w:rPr>
      </w:pPr>
      <w:r w:rsidRPr="000D2B40">
        <w:rPr>
          <w:color w:val="auto"/>
          <w:szCs w:val="28"/>
          <w:lang w:val="nl-NL"/>
        </w:rPr>
        <w:t xml:space="preserve">Do vậy, </w:t>
      </w:r>
      <w:r w:rsidRPr="000D2B40">
        <w:rPr>
          <w:color w:val="auto"/>
          <w:szCs w:val="28"/>
          <w:lang w:val="vi-VN"/>
        </w:rPr>
        <w:t xml:space="preserve">Dự thảo Nghị quyết </w:t>
      </w:r>
      <w:r w:rsidRPr="000D2B40">
        <w:rPr>
          <w:color w:val="auto"/>
          <w:szCs w:val="28"/>
        </w:rPr>
        <w:t xml:space="preserve">đã </w:t>
      </w:r>
      <w:r w:rsidRPr="000D2B40">
        <w:rPr>
          <w:color w:val="auto"/>
          <w:szCs w:val="28"/>
          <w:lang w:val="vi-VN"/>
        </w:rPr>
        <w:t>đảm bảo tính hợp hiến, hợp pháp và tính thống nhất với hệ thống pháp luật hiện hành.</w:t>
      </w:r>
      <w:r w:rsidRPr="000D2B40">
        <w:rPr>
          <w:color w:val="auto"/>
          <w:szCs w:val="28"/>
        </w:rPr>
        <w:t xml:space="preserve"> </w:t>
      </w:r>
    </w:p>
    <w:p w:rsidR="00D27913" w:rsidRPr="000D2B40" w:rsidRDefault="00D27913" w:rsidP="00D27913">
      <w:pPr>
        <w:spacing w:before="120" w:after="120"/>
        <w:ind w:firstLine="720"/>
        <w:jc w:val="both"/>
        <w:rPr>
          <w:b/>
          <w:color w:val="auto"/>
          <w:szCs w:val="28"/>
        </w:rPr>
      </w:pPr>
      <w:r w:rsidRPr="000D2B40">
        <w:rPr>
          <w:b/>
          <w:color w:val="auto"/>
          <w:szCs w:val="28"/>
        </w:rPr>
        <w:t>4. Ý kiến của Ban Kinh tế - Xã hội</w:t>
      </w:r>
    </w:p>
    <w:p w:rsidR="00D27913" w:rsidRPr="000D2B40" w:rsidRDefault="00D27913" w:rsidP="00D27913">
      <w:pPr>
        <w:spacing w:before="120" w:after="120"/>
        <w:ind w:firstLine="720"/>
        <w:jc w:val="both"/>
        <w:rPr>
          <w:color w:val="auto"/>
          <w:szCs w:val="28"/>
        </w:rPr>
      </w:pPr>
      <w:r w:rsidRPr="000D2B40">
        <w:rPr>
          <w:color w:val="auto"/>
          <w:szCs w:val="28"/>
        </w:rPr>
        <w:t>- Đề nghị cơ quan tham mưu dự thảo nghị quyết xem xét, tiếp thu, chỉnh sửa các ý kiến của Ban tại báo cáo thẩm tra này. Hoàn chỉnh nội dung nghị quyết trình HĐND huyện xem xét, quyết nghị.</w:t>
      </w:r>
    </w:p>
    <w:p w:rsidR="00D27913" w:rsidRPr="000D2B40" w:rsidRDefault="00D27913" w:rsidP="00D27913">
      <w:pPr>
        <w:spacing w:before="120" w:after="120"/>
        <w:ind w:firstLine="705"/>
        <w:jc w:val="both"/>
        <w:rPr>
          <w:color w:val="auto"/>
          <w:lang w:val="nl-NL"/>
        </w:rPr>
      </w:pPr>
      <w:r w:rsidRPr="000D2B40">
        <w:rPr>
          <w:color w:val="auto"/>
          <w:szCs w:val="28"/>
        </w:rPr>
        <w:t xml:space="preserve">- </w:t>
      </w:r>
      <w:r w:rsidRPr="000D2B40">
        <w:rPr>
          <w:color w:val="auto"/>
          <w:lang w:val="nl-NL"/>
        </w:rPr>
        <w:t xml:space="preserve">Hoàn chỉnh thể thức dự thảo nghị quyết theo đúng quy định về thể thức và kỹ thuật trình bày văn bản quy phạm pháp luật </w:t>
      </w:r>
      <w:r>
        <w:rPr>
          <w:color w:val="auto"/>
          <w:lang w:val="nl-NL"/>
        </w:rPr>
        <w:t>quy</w:t>
      </w:r>
      <w:r w:rsidRPr="000D2B40">
        <w:rPr>
          <w:color w:val="auto"/>
          <w:lang w:val="nl-NL"/>
        </w:rPr>
        <w:t xml:space="preserve"> định tại Nghị định 34/2016/NĐ-CP ngày 14/5/2016 và Mẫu số 20, Phụ lục I kèm theo.</w:t>
      </w:r>
    </w:p>
    <w:p w:rsidR="00D27913" w:rsidRPr="000D2B40" w:rsidRDefault="00D27913" w:rsidP="00D27913">
      <w:pPr>
        <w:spacing w:before="120" w:after="120"/>
        <w:jc w:val="both"/>
        <w:rPr>
          <w:color w:val="auto"/>
          <w:szCs w:val="28"/>
          <w:lang w:val="nl-NL"/>
        </w:rPr>
      </w:pPr>
      <w:r w:rsidRPr="000D2B40">
        <w:rPr>
          <w:color w:val="auto"/>
          <w:szCs w:val="28"/>
          <w:lang w:val="nl-NL"/>
        </w:rPr>
        <w:tab/>
        <w:t>Trình Hội đồng nhân dân huyện khóa X, kỳ họp thứ 4 xem xét quyết định./.</w:t>
      </w:r>
    </w:p>
    <w:tbl>
      <w:tblPr>
        <w:tblW w:w="4889" w:type="pct"/>
        <w:tblInd w:w="108" w:type="dxa"/>
        <w:tblLook w:val="01E0"/>
      </w:tblPr>
      <w:tblGrid>
        <w:gridCol w:w="4292"/>
        <w:gridCol w:w="5067"/>
      </w:tblGrid>
      <w:tr w:rsidR="00D27913" w:rsidRPr="000D2B40" w:rsidTr="00A0367B">
        <w:trPr>
          <w:trHeight w:val="1811"/>
        </w:trPr>
        <w:tc>
          <w:tcPr>
            <w:tcW w:w="2293" w:type="pct"/>
            <w:hideMark/>
          </w:tcPr>
          <w:p w:rsidR="00D27913" w:rsidRPr="000D2B40" w:rsidRDefault="00D27913" w:rsidP="00A0367B">
            <w:pPr>
              <w:rPr>
                <w:b/>
                <w:i/>
                <w:color w:val="auto"/>
                <w:sz w:val="22"/>
                <w:lang w:val="nl-NL"/>
              </w:rPr>
            </w:pPr>
            <w:r w:rsidRPr="000D2B40">
              <w:rPr>
                <w:b/>
                <w:i/>
                <w:color w:val="auto"/>
                <w:sz w:val="22"/>
                <w:lang w:val="nl-NL"/>
              </w:rPr>
              <w:t>Nơi nhận:</w:t>
            </w:r>
          </w:p>
          <w:p w:rsidR="00D27913" w:rsidRPr="000D2B40" w:rsidRDefault="00D27913" w:rsidP="00A0367B">
            <w:pPr>
              <w:jc w:val="both"/>
              <w:rPr>
                <w:color w:val="auto"/>
                <w:sz w:val="22"/>
                <w:lang w:val="nl-NL"/>
              </w:rPr>
            </w:pPr>
            <w:r w:rsidRPr="000D2B40">
              <w:rPr>
                <w:color w:val="auto"/>
                <w:sz w:val="22"/>
                <w:lang w:val="nl-NL"/>
              </w:rPr>
              <w:t>- Thường trực HĐND huyện (b/c);</w:t>
            </w:r>
          </w:p>
          <w:p w:rsidR="00D27913" w:rsidRPr="000D2B40" w:rsidRDefault="00D27913" w:rsidP="00A0367B">
            <w:pPr>
              <w:jc w:val="both"/>
              <w:rPr>
                <w:color w:val="auto"/>
                <w:sz w:val="22"/>
                <w:lang w:val="nl-NL"/>
              </w:rPr>
            </w:pPr>
            <w:r w:rsidRPr="000D2B40">
              <w:rPr>
                <w:color w:val="auto"/>
                <w:sz w:val="22"/>
                <w:lang w:val="nl-NL"/>
              </w:rPr>
              <w:t>- Ủy ban nhân dân huyện;</w:t>
            </w:r>
          </w:p>
          <w:p w:rsidR="00D27913" w:rsidRPr="000D2B40" w:rsidRDefault="00D27913" w:rsidP="00A0367B">
            <w:pPr>
              <w:jc w:val="both"/>
              <w:rPr>
                <w:color w:val="auto"/>
                <w:sz w:val="22"/>
                <w:lang w:val="nl-NL"/>
              </w:rPr>
            </w:pPr>
            <w:r w:rsidRPr="000D2B40">
              <w:rPr>
                <w:color w:val="auto"/>
                <w:sz w:val="22"/>
                <w:lang w:val="nl-NL"/>
              </w:rPr>
              <w:t>- Đại biểu HĐND huyện;</w:t>
            </w:r>
          </w:p>
          <w:p w:rsidR="00D27913" w:rsidRPr="000D2B40" w:rsidRDefault="00D27913" w:rsidP="00A0367B">
            <w:pPr>
              <w:jc w:val="both"/>
              <w:rPr>
                <w:color w:val="auto"/>
                <w:sz w:val="22"/>
                <w:lang w:val="nl-NL"/>
              </w:rPr>
            </w:pPr>
            <w:r w:rsidRPr="000D2B40">
              <w:rPr>
                <w:color w:val="auto"/>
                <w:sz w:val="22"/>
                <w:lang w:val="nl-NL"/>
              </w:rPr>
              <w:t>- Lãnh đạo Văn phòng HĐND huyện;</w:t>
            </w:r>
          </w:p>
          <w:p w:rsidR="00D27913" w:rsidRPr="000D2B40" w:rsidRDefault="00D27913" w:rsidP="00A0367B">
            <w:pPr>
              <w:jc w:val="both"/>
              <w:rPr>
                <w:color w:val="auto"/>
                <w:lang w:val="sv-SE"/>
              </w:rPr>
            </w:pPr>
            <w:r w:rsidRPr="000D2B40">
              <w:rPr>
                <w:color w:val="auto"/>
                <w:sz w:val="22"/>
                <w:lang w:val="sv-SE"/>
              </w:rPr>
              <w:t xml:space="preserve">- Lưu: VTLT </w:t>
            </w:r>
            <w:r w:rsidRPr="000D2B40">
              <w:rPr>
                <w:color w:val="auto"/>
                <w:sz w:val="22"/>
                <w:vertAlign w:val="subscript"/>
                <w:lang w:val="sv-SE"/>
              </w:rPr>
              <w:t>KTXH</w:t>
            </w:r>
            <w:r w:rsidRPr="000D2B40">
              <w:rPr>
                <w:i/>
                <w:color w:val="auto"/>
                <w:sz w:val="22"/>
                <w:lang w:val="sv-SE"/>
              </w:rPr>
              <w:t>.</w:t>
            </w:r>
          </w:p>
        </w:tc>
        <w:tc>
          <w:tcPr>
            <w:tcW w:w="2707" w:type="pct"/>
          </w:tcPr>
          <w:p w:rsidR="00D27913" w:rsidRPr="000D2B40" w:rsidRDefault="00D27913" w:rsidP="00A0367B">
            <w:pPr>
              <w:jc w:val="center"/>
              <w:rPr>
                <w:b/>
                <w:color w:val="auto"/>
                <w:szCs w:val="28"/>
                <w:lang w:val="sv-SE"/>
              </w:rPr>
            </w:pPr>
            <w:r w:rsidRPr="000D2B40">
              <w:rPr>
                <w:b/>
                <w:color w:val="auto"/>
                <w:szCs w:val="28"/>
                <w:lang w:val="sv-SE"/>
              </w:rPr>
              <w:t>TM. BAN KINH TẾ - XÃ HỘI</w:t>
            </w:r>
          </w:p>
          <w:p w:rsidR="00D27913" w:rsidRPr="000D2B40" w:rsidRDefault="00D27913" w:rsidP="00A0367B">
            <w:pPr>
              <w:jc w:val="center"/>
              <w:rPr>
                <w:b/>
                <w:color w:val="auto"/>
                <w:szCs w:val="28"/>
                <w:lang w:val="sv-SE"/>
              </w:rPr>
            </w:pPr>
            <w:r w:rsidRPr="000D2B40">
              <w:rPr>
                <w:b/>
                <w:color w:val="auto"/>
                <w:szCs w:val="28"/>
                <w:lang w:val="sv-SE"/>
              </w:rPr>
              <w:t xml:space="preserve">TRƯỞNG BAN   </w:t>
            </w:r>
          </w:p>
          <w:p w:rsidR="00D27913" w:rsidRPr="000D2B40" w:rsidRDefault="00D27913" w:rsidP="00A0367B">
            <w:pPr>
              <w:jc w:val="center"/>
              <w:rPr>
                <w:b/>
                <w:color w:val="auto"/>
                <w:szCs w:val="28"/>
                <w:lang w:val="sv-SE"/>
              </w:rPr>
            </w:pPr>
            <w:r w:rsidRPr="000D2B40">
              <w:rPr>
                <w:b/>
                <w:color w:val="auto"/>
                <w:szCs w:val="28"/>
                <w:lang w:val="sv-SE"/>
              </w:rPr>
              <w:t>(Đã ký)</w:t>
            </w:r>
          </w:p>
          <w:p w:rsidR="00D27913" w:rsidRPr="000D2B40" w:rsidRDefault="00D27913" w:rsidP="00A0367B">
            <w:pPr>
              <w:jc w:val="center"/>
              <w:rPr>
                <w:b/>
                <w:color w:val="auto"/>
                <w:szCs w:val="28"/>
                <w:lang w:val="sv-SE"/>
              </w:rPr>
            </w:pPr>
          </w:p>
          <w:p w:rsidR="00D27913" w:rsidRPr="000D2B40" w:rsidRDefault="00D27913" w:rsidP="00A0367B">
            <w:pPr>
              <w:jc w:val="center"/>
              <w:rPr>
                <w:b/>
                <w:color w:val="auto"/>
                <w:szCs w:val="28"/>
                <w:lang w:val="sv-SE"/>
              </w:rPr>
            </w:pPr>
            <w:r w:rsidRPr="000D2B40">
              <w:rPr>
                <w:b/>
                <w:color w:val="auto"/>
                <w:szCs w:val="28"/>
                <w:lang w:val="sv-SE"/>
              </w:rPr>
              <w:t xml:space="preserve">Nguyễn Viết Hùng                      </w:t>
            </w:r>
            <w:r w:rsidRPr="000D2B40">
              <w:rPr>
                <w:b/>
                <w:color w:val="auto"/>
                <w:lang w:val="sv-SE"/>
              </w:rPr>
              <w:t xml:space="preserve">      </w:t>
            </w:r>
          </w:p>
          <w:p w:rsidR="00D27913" w:rsidRPr="000D2B40" w:rsidRDefault="00D27913" w:rsidP="00A0367B">
            <w:pPr>
              <w:rPr>
                <w:color w:val="auto"/>
                <w:szCs w:val="28"/>
                <w:lang w:val="sv-SE"/>
              </w:rPr>
            </w:pPr>
          </w:p>
        </w:tc>
      </w:tr>
    </w:tbl>
    <w:p w:rsidR="00D27913" w:rsidRDefault="00D27913" w:rsidP="00D27913">
      <w:pPr>
        <w:ind w:left="2160" w:firstLine="720"/>
        <w:rPr>
          <w:b/>
          <w:color w:val="auto"/>
        </w:rPr>
      </w:pPr>
    </w:p>
    <w:p w:rsidR="00D27913" w:rsidRDefault="00D27913" w:rsidP="00D27913">
      <w:pPr>
        <w:ind w:left="2160" w:firstLine="720"/>
        <w:rPr>
          <w:b/>
          <w:color w:val="auto"/>
        </w:rPr>
      </w:pPr>
    </w:p>
    <w:p w:rsidR="00D27913" w:rsidRDefault="00D27913" w:rsidP="00D27913">
      <w:pPr>
        <w:ind w:left="2160" w:firstLine="720"/>
        <w:rPr>
          <w:b/>
          <w:color w:val="auto"/>
        </w:rPr>
      </w:pPr>
    </w:p>
    <w:p w:rsidR="00D27913" w:rsidRPr="000D2B40" w:rsidRDefault="00D27913" w:rsidP="00D27913">
      <w:pPr>
        <w:ind w:left="2160" w:firstLine="720"/>
        <w:rPr>
          <w:b/>
          <w:color w:val="auto"/>
        </w:rPr>
      </w:pPr>
    </w:p>
    <w:p w:rsidR="00E619B6" w:rsidRDefault="00E619B6"/>
    <w:sectPr w:rsidR="00E619B6" w:rsidSect="00B80256">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compat/>
  <w:rsids>
    <w:rsidRoot w:val="00D27913"/>
    <w:rsid w:val="004A5DBD"/>
    <w:rsid w:val="0086205A"/>
    <w:rsid w:val="00B80256"/>
    <w:rsid w:val="00D27913"/>
    <w:rsid w:val="00E365DD"/>
    <w:rsid w:val="00E619B6"/>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 id="V:Rule3"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913"/>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27913"/>
    <w:rPr>
      <w:rFonts w:ascii="Verdana" w:hAnsi="Verdan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6283</Characters>
  <Application>Microsoft Office Word</Application>
  <DocSecurity>0</DocSecurity>
  <Lines>52</Lines>
  <Paragraphs>14</Paragraphs>
  <ScaleCrop>false</ScaleCrop>
  <Company/>
  <LinksUpToDate>false</LinksUpToDate>
  <CharactersWithSpaces>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2018-05-23T08:02:00Z</dcterms:created>
  <dcterms:modified xsi:type="dcterms:W3CDTF">2018-05-23T08:02:00Z</dcterms:modified>
</cp:coreProperties>
</file>