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226"/>
        <w:gridCol w:w="6089"/>
      </w:tblGrid>
      <w:tr w:rsidR="00B41E44" w:rsidRPr="00D302DA" w:rsidTr="00AE5711">
        <w:trPr>
          <w:trHeight w:val="893"/>
        </w:trPr>
        <w:tc>
          <w:tcPr>
            <w:tcW w:w="3226" w:type="dxa"/>
          </w:tcPr>
          <w:p w:rsidR="00B41E44" w:rsidRPr="00D302DA" w:rsidRDefault="00B41E44" w:rsidP="00A0534C">
            <w:pPr>
              <w:jc w:val="center"/>
              <w:rPr>
                <w:b/>
                <w:bCs/>
                <w:color w:val="000000" w:themeColor="text1"/>
                <w:sz w:val="26"/>
                <w:szCs w:val="26"/>
              </w:rPr>
            </w:pPr>
            <w:r w:rsidRPr="00D302DA">
              <w:rPr>
                <w:b/>
                <w:bCs/>
                <w:color w:val="000000" w:themeColor="text1"/>
                <w:sz w:val="26"/>
                <w:szCs w:val="26"/>
              </w:rPr>
              <w:t>HỘI ĐỒNG NHÂN DÂN</w:t>
            </w:r>
          </w:p>
          <w:p w:rsidR="00B41E44" w:rsidRPr="00D302DA" w:rsidRDefault="00B41E44" w:rsidP="00A0534C">
            <w:pPr>
              <w:jc w:val="center"/>
              <w:rPr>
                <w:b/>
                <w:bCs/>
                <w:color w:val="000000" w:themeColor="text1"/>
                <w:sz w:val="26"/>
                <w:szCs w:val="26"/>
              </w:rPr>
            </w:pPr>
            <w:r w:rsidRPr="00D302DA">
              <w:rPr>
                <w:b/>
                <w:bCs/>
                <w:color w:val="000000" w:themeColor="text1"/>
                <w:sz w:val="26"/>
                <w:szCs w:val="26"/>
              </w:rPr>
              <w:t>HUYỆN SA THẦY</w:t>
            </w:r>
          </w:p>
          <w:p w:rsidR="00B41E44" w:rsidRPr="00D302DA" w:rsidRDefault="00B41E44" w:rsidP="00A0534C">
            <w:pPr>
              <w:spacing w:line="120" w:lineRule="auto"/>
              <w:jc w:val="center"/>
              <w:rPr>
                <w:b/>
                <w:bCs/>
                <w:color w:val="000000" w:themeColor="text1"/>
                <w:sz w:val="26"/>
                <w:szCs w:val="26"/>
              </w:rPr>
            </w:pPr>
            <w:r>
              <w:rPr>
                <w:b/>
                <w:bCs/>
                <w:noProof/>
                <w:color w:val="000000" w:themeColor="text1"/>
                <w:sz w:val="26"/>
                <w:szCs w:val="26"/>
              </w:rPr>
              <w:pict>
                <v:line id="_x0000_s1026" style="position:absolute;left:0;text-align:left;z-index:251660288" from="47.2pt,.85pt" to="90.6pt,.85pt"/>
              </w:pict>
            </w:r>
            <w:r w:rsidRPr="00D302DA">
              <w:rPr>
                <w:b/>
                <w:bCs/>
                <w:color w:val="000000" w:themeColor="text1"/>
                <w:sz w:val="26"/>
                <w:szCs w:val="26"/>
              </w:rPr>
              <w:softHyphen/>
            </w:r>
            <w:r w:rsidRPr="00D302DA">
              <w:rPr>
                <w:b/>
                <w:bCs/>
                <w:color w:val="000000" w:themeColor="text1"/>
                <w:sz w:val="26"/>
                <w:szCs w:val="26"/>
              </w:rPr>
              <w:softHyphen/>
            </w:r>
            <w:r w:rsidRPr="00D302DA">
              <w:rPr>
                <w:b/>
                <w:bCs/>
                <w:color w:val="000000" w:themeColor="text1"/>
                <w:sz w:val="26"/>
                <w:szCs w:val="26"/>
              </w:rPr>
              <w:softHyphen/>
            </w:r>
          </w:p>
        </w:tc>
        <w:tc>
          <w:tcPr>
            <w:tcW w:w="6089" w:type="dxa"/>
          </w:tcPr>
          <w:p w:rsidR="00B41E44" w:rsidRPr="00D302DA" w:rsidRDefault="00B41E44" w:rsidP="00A0534C">
            <w:pPr>
              <w:jc w:val="center"/>
              <w:rPr>
                <w:b/>
                <w:bCs/>
                <w:color w:val="000000" w:themeColor="text1"/>
                <w:sz w:val="26"/>
                <w:szCs w:val="26"/>
              </w:rPr>
            </w:pPr>
            <w:r w:rsidRPr="00D302DA">
              <w:rPr>
                <w:b/>
                <w:bCs/>
                <w:color w:val="000000" w:themeColor="text1"/>
                <w:sz w:val="26"/>
                <w:szCs w:val="26"/>
              </w:rPr>
              <w:t>CỘNG HOÀ XÃ HỘI CHỦ NGHĨA VIỆT NAM</w:t>
            </w:r>
          </w:p>
          <w:p w:rsidR="00B41E44" w:rsidRPr="00D208EE" w:rsidRDefault="00B41E44" w:rsidP="00A0534C">
            <w:pPr>
              <w:pStyle w:val="Heading2"/>
              <w:rPr>
                <w:b/>
                <w:i w:val="0"/>
                <w:color w:val="000000" w:themeColor="text1"/>
                <w:sz w:val="28"/>
                <w:szCs w:val="28"/>
              </w:rPr>
            </w:pPr>
            <w:r w:rsidRPr="00D208EE">
              <w:rPr>
                <w:b/>
                <w:i w:val="0"/>
                <w:color w:val="000000" w:themeColor="text1"/>
                <w:sz w:val="28"/>
                <w:szCs w:val="28"/>
              </w:rPr>
              <w:t>Độc lập -  Tự do  -  Hạnh phúc</w:t>
            </w:r>
          </w:p>
          <w:p w:rsidR="00B41E44" w:rsidRPr="00D302DA" w:rsidRDefault="00AE5711" w:rsidP="00A0534C">
            <w:pPr>
              <w:spacing w:line="120" w:lineRule="auto"/>
              <w:jc w:val="center"/>
              <w:rPr>
                <w:color w:val="000000" w:themeColor="text1"/>
                <w:sz w:val="26"/>
                <w:szCs w:val="26"/>
              </w:rPr>
            </w:pPr>
            <w:r w:rsidRPr="00177B0D">
              <w:rPr>
                <w:i/>
                <w:noProof/>
                <w:color w:val="000000" w:themeColor="text1"/>
                <w:sz w:val="26"/>
                <w:szCs w:val="26"/>
                <w:lang w:val="vi-VN" w:eastAsia="vi-VN"/>
              </w:rPr>
              <w:pict>
                <v:line id="_x0000_s1027" style="position:absolute;left:0;text-align:left;z-index:251661312" from="60.2pt,1.2pt" to="235.2pt,1.2pt"/>
              </w:pict>
            </w:r>
          </w:p>
        </w:tc>
      </w:tr>
      <w:tr w:rsidR="00B41E44" w:rsidRPr="00D302DA" w:rsidTr="00AE5711">
        <w:trPr>
          <w:trHeight w:val="422"/>
        </w:trPr>
        <w:tc>
          <w:tcPr>
            <w:tcW w:w="3226" w:type="dxa"/>
          </w:tcPr>
          <w:p w:rsidR="00B41E44" w:rsidRPr="00D302DA" w:rsidRDefault="00B41E44" w:rsidP="00A0534C">
            <w:pPr>
              <w:spacing w:before="240"/>
              <w:jc w:val="center"/>
              <w:rPr>
                <w:color w:val="000000" w:themeColor="text1"/>
                <w:sz w:val="26"/>
                <w:szCs w:val="26"/>
              </w:rPr>
            </w:pPr>
            <w:r w:rsidRPr="00D302DA">
              <w:rPr>
                <w:color w:val="000000" w:themeColor="text1"/>
                <w:sz w:val="26"/>
                <w:szCs w:val="26"/>
              </w:rPr>
              <w:t>Số:  32 /BC-HĐND</w:t>
            </w:r>
          </w:p>
        </w:tc>
        <w:tc>
          <w:tcPr>
            <w:tcW w:w="6089" w:type="dxa"/>
          </w:tcPr>
          <w:p w:rsidR="00B41E44" w:rsidRPr="00D208EE" w:rsidRDefault="00B41E44" w:rsidP="00A0534C">
            <w:pPr>
              <w:spacing w:before="240"/>
              <w:jc w:val="center"/>
              <w:rPr>
                <w:i/>
                <w:color w:val="000000" w:themeColor="text1"/>
                <w:szCs w:val="28"/>
              </w:rPr>
            </w:pPr>
            <w:r w:rsidRPr="00D208EE">
              <w:rPr>
                <w:i/>
                <w:color w:val="000000" w:themeColor="text1"/>
                <w:szCs w:val="28"/>
              </w:rPr>
              <w:t>Sa Thầy, ngày  18  tháng 11 năm 2016</w:t>
            </w:r>
          </w:p>
        </w:tc>
      </w:tr>
    </w:tbl>
    <w:p w:rsidR="00B41E44" w:rsidRPr="00D302DA" w:rsidRDefault="00B41E44" w:rsidP="00B41E44">
      <w:pPr>
        <w:jc w:val="center"/>
        <w:rPr>
          <w:b/>
          <w:color w:val="000000" w:themeColor="text1"/>
          <w:sz w:val="26"/>
          <w:szCs w:val="26"/>
        </w:rPr>
      </w:pPr>
    </w:p>
    <w:p w:rsidR="00B41E44" w:rsidRPr="00BE1CCB" w:rsidRDefault="00B41E44" w:rsidP="00B41E44">
      <w:pPr>
        <w:jc w:val="center"/>
        <w:rPr>
          <w:b/>
          <w:color w:val="000000" w:themeColor="text1"/>
          <w:szCs w:val="28"/>
        </w:rPr>
      </w:pPr>
      <w:r w:rsidRPr="00BE1CCB">
        <w:rPr>
          <w:b/>
          <w:color w:val="000000" w:themeColor="text1"/>
          <w:szCs w:val="28"/>
        </w:rPr>
        <w:t>BÁO CÁO</w:t>
      </w:r>
    </w:p>
    <w:p w:rsidR="00B41E44" w:rsidRPr="00BE1CCB" w:rsidRDefault="00B41E44" w:rsidP="00B41E44">
      <w:pPr>
        <w:jc w:val="center"/>
        <w:rPr>
          <w:b/>
          <w:color w:val="000000" w:themeColor="text1"/>
          <w:szCs w:val="28"/>
        </w:rPr>
      </w:pPr>
      <w:r w:rsidRPr="00BE1CCB">
        <w:rPr>
          <w:b/>
          <w:color w:val="000000" w:themeColor="text1"/>
          <w:szCs w:val="28"/>
        </w:rPr>
        <w:t>Kết quả giám sát tình hình thu, chi ngân sách nhà nước trên địa bàn huyện;</w:t>
      </w:r>
    </w:p>
    <w:p w:rsidR="00B41E44" w:rsidRPr="00BE1CCB" w:rsidRDefault="00B41E44" w:rsidP="00B41E44">
      <w:pPr>
        <w:jc w:val="center"/>
        <w:rPr>
          <w:b/>
          <w:color w:val="000000" w:themeColor="text1"/>
          <w:szCs w:val="28"/>
        </w:rPr>
      </w:pPr>
      <w:r w:rsidRPr="00BE1CCB">
        <w:rPr>
          <w:b/>
          <w:color w:val="000000" w:themeColor="text1"/>
          <w:szCs w:val="28"/>
        </w:rPr>
        <w:t>dự kiến thu và phương án phân bổ chi ngân sách huyện năm 2017</w:t>
      </w:r>
    </w:p>
    <w:p w:rsidR="00B41E44" w:rsidRPr="00BE1CCB" w:rsidRDefault="00B41E44" w:rsidP="00B41E44">
      <w:pPr>
        <w:jc w:val="center"/>
        <w:rPr>
          <w:i/>
          <w:color w:val="000000" w:themeColor="text1"/>
          <w:szCs w:val="28"/>
        </w:rPr>
      </w:pPr>
      <w:r w:rsidRPr="00BE1CCB">
        <w:rPr>
          <w:i/>
          <w:color w:val="000000" w:themeColor="text1"/>
          <w:szCs w:val="28"/>
        </w:rPr>
        <w:t>(Theo Kế hoạch số 14/KH-HĐND ngày 09/9/2016 của Thường trực HĐND huyện)</w:t>
      </w:r>
    </w:p>
    <w:p w:rsidR="00B41E44" w:rsidRPr="00BE1CCB" w:rsidRDefault="00B41E44" w:rsidP="00B41E44">
      <w:pPr>
        <w:rPr>
          <w:color w:val="000000" w:themeColor="text1"/>
          <w:szCs w:val="28"/>
        </w:rPr>
      </w:pPr>
      <w:r w:rsidRPr="00BE1CCB">
        <w:rPr>
          <w:noProof/>
          <w:color w:val="000000" w:themeColor="text1"/>
          <w:szCs w:val="28"/>
        </w:rPr>
        <w:pict>
          <v:line id="_x0000_s1028" style="position:absolute;z-index:251662336" from="205.75pt,3.1pt" to="275.75pt,3.1pt"/>
        </w:pict>
      </w:r>
    </w:p>
    <w:p w:rsidR="00B41E44" w:rsidRPr="00BE1CCB" w:rsidRDefault="00B41E44" w:rsidP="00B41E44">
      <w:pPr>
        <w:pStyle w:val="BodyText"/>
        <w:spacing w:before="60"/>
        <w:ind w:firstLine="709"/>
        <w:jc w:val="left"/>
        <w:rPr>
          <w:rFonts w:ascii="Times New Roman" w:hAnsi="Times New Roman"/>
          <w:b w:val="0"/>
          <w:color w:val="000000" w:themeColor="text1"/>
          <w:szCs w:val="28"/>
        </w:rPr>
      </w:pPr>
      <w:r w:rsidRPr="00BE1CCB">
        <w:rPr>
          <w:rFonts w:ascii="Times New Roman" w:hAnsi="Times New Roman"/>
          <w:b w:val="0"/>
          <w:color w:val="000000" w:themeColor="text1"/>
          <w:szCs w:val="28"/>
        </w:rPr>
        <w:t xml:space="preserve">Căn cứ Luật Tổ chức Chính quyền địa phương ngày 19/6/2015; </w:t>
      </w:r>
    </w:p>
    <w:p w:rsidR="00B41E44" w:rsidRPr="00BE1CCB" w:rsidRDefault="00B41E44" w:rsidP="00B41E44">
      <w:pPr>
        <w:pStyle w:val="BodyText"/>
        <w:spacing w:before="60"/>
        <w:ind w:firstLine="709"/>
        <w:jc w:val="left"/>
        <w:rPr>
          <w:rFonts w:ascii="Times New Roman" w:hAnsi="Times New Roman"/>
          <w:b w:val="0"/>
          <w:color w:val="000000" w:themeColor="text1"/>
          <w:szCs w:val="28"/>
        </w:rPr>
      </w:pPr>
      <w:r w:rsidRPr="00BE1CCB">
        <w:rPr>
          <w:rFonts w:ascii="Times New Roman" w:hAnsi="Times New Roman"/>
          <w:b w:val="0"/>
          <w:color w:val="000000" w:themeColor="text1"/>
          <w:szCs w:val="28"/>
        </w:rPr>
        <w:t xml:space="preserve">Căn cứ Luật Hoạt động giám sát của Quốc hội và HĐND ngày 20/11/2015;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Căn cứ Nghị quyết số 37/NQ-HĐND ngày 19/8/2016 về Chương trình hoạt động của HĐND huyện 6 tháng cuối năm 2016; </w:t>
      </w:r>
    </w:p>
    <w:p w:rsidR="00B41E44" w:rsidRPr="00BE1CCB" w:rsidRDefault="00B41E44" w:rsidP="00B41E44">
      <w:pPr>
        <w:spacing w:before="60"/>
        <w:ind w:firstLine="709"/>
        <w:jc w:val="both"/>
        <w:rPr>
          <w:b/>
          <w:color w:val="000000" w:themeColor="text1"/>
          <w:szCs w:val="28"/>
        </w:rPr>
      </w:pPr>
      <w:r w:rsidRPr="00BE1CCB">
        <w:rPr>
          <w:color w:val="000000" w:themeColor="text1"/>
          <w:szCs w:val="28"/>
        </w:rPr>
        <w:t>Thực hiện Kế hoạch số 14/KH-HĐND ngày 09/9/2016 của Thường trực HĐND huyện về giám sát tình hình thu, chi ngân sách nhà nước trên địa bàn huyện; dự kiến thu và phương án phân bổ chi ngân sách huyện năm 2017,</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Thường trực HĐND huyện báo cáo kết quả giám sát như sau:</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I. Tình hình thu ngân sách nhà nước trên địa bàn huyện năm 2014, 2015, 2016 và dự kiến thu ngân sách huyện năm 2017</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Trong bối cảnh kinh tế diễn biến khó khăn, giá các mặt hàng nông sản (cà phê, cao su, sắn tươi...) giảm mạnh, thời tiết diễn biến phức tạp, hạn hán kéo dài đã ảnh hưởng không nhỏ đến sản xuất và đời sống nhân dân. Các doanh nghiệp trên địa bàn chủ yếu là doanh nghiệp nhỏ, sản xuất không ổn định. Do đó ảnh hưởng không nhỏ đến nguồn thu ngân sách của huyện.</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Tuy nhiên, dưới sự quan tâm chỉ đạo của cấp ủy, chính quyền địa phương và sự phối hợp của các ngành liên quan, thu ngân sách huyện trên địa bàn huyện qua các năm đều đạt và vượt chỉ tiêu kế hoạch đề ra.</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1. Tình hình thu ngân sách nhà nước trên địa bàn huyện năm 2014, 2015, 2016</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Thực hiện nhiệm vụ thu ngân sách nhà nước trên địa bàn, Chi cục Thuế huyện đã bám sát các văn bản hướng dẫn của Chính phủ, UBND tỉnh, các sở, ngành và căn cứ tình hình thực tế để xây dựng dự toán thu cho từng xã, thị trấn. Một số sắc thuế thu đạt tỷ lệ cao qua các năm như thu từ khu vực kinh tế Công thương nghiệp &amp; Dịch vụ ngoài quốc doanh, thu tiền sử dụng đất, thu khác ngân sách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Năm 2014, thu ngân sách nhà nước trên địa bàn huyện là 80,054 tỷ đồng, đạt 123% dự toán tỉnh giao và đạt 116% dự toán HĐND huyện giao.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Năm 2015, thu ngân sách nhà nước trên địa bàn huyện là 87,826 tỷ đồng, đạt 155% dự toán tỉnh giao và đạt 149% dự toán HĐND huyện giao.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Đến hết tháng 9/2016, thu ngân sách nhà nước trên địa bàn huyện là 50,274 tỷ đồng, đạt 83% dự toán tỉnh giao và đạt 77% dự toán HĐND huyện giao; ước </w:t>
      </w:r>
      <w:r w:rsidRPr="00BE1CCB">
        <w:rPr>
          <w:color w:val="000000" w:themeColor="text1"/>
          <w:szCs w:val="28"/>
        </w:rPr>
        <w:lastRenderedPageBreak/>
        <w:t xml:space="preserve">thực hiện năm 2016 là 66,574 tỷ đồng, đạt 110% dự toán tỉnh giao và đạt 102% dự toán HĐND huyện giao. </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2. Tình hình nợ đọng và thu hồi thuế nợ đọng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Công tác quản lý, theo dõi nợ thuế được Chi cục Thuế chú trọng, quản lý tốt từng khoản nợ theo đúng quy định. Thường xuyên phân loại nợ thuế (nợ khó thu, nợ có khả năng thu) để có biện pháp đôn đốc, thu hồi nợ đọng. Tổng số thuế nợ đọng năm 2014 là 2,830 tỷ đồng; năm 2015 là 5,884 tỷ đồng và đến hết tháng 9/2016 là 2,865 tỷ đồng. Tuy nhiên, do các doanh nghiệp gặp nhiều khó khăn về tài chính, làm ăn thua lỗ nên kết quả thu nợ chưa đạt. Việc cưỡng chế thu nợ chưa quyết liệt nên nợ đọng vẫn cao.</w:t>
      </w:r>
    </w:p>
    <w:p w:rsidR="00B41E44" w:rsidRPr="00BE1CCB" w:rsidRDefault="00B41E44" w:rsidP="00B41E44">
      <w:pPr>
        <w:spacing w:before="60"/>
        <w:ind w:firstLine="709"/>
        <w:jc w:val="both"/>
        <w:rPr>
          <w:color w:val="000000" w:themeColor="text1"/>
          <w:szCs w:val="28"/>
        </w:rPr>
      </w:pPr>
      <w:r w:rsidRPr="00BE1CCB">
        <w:rPr>
          <w:b/>
          <w:color w:val="000000" w:themeColor="text1"/>
          <w:szCs w:val="28"/>
        </w:rPr>
        <w:t>3.</w:t>
      </w:r>
      <w:r w:rsidRPr="00BE1CCB">
        <w:rPr>
          <w:color w:val="000000" w:themeColor="text1"/>
          <w:szCs w:val="28"/>
        </w:rPr>
        <w:t xml:space="preserve"> </w:t>
      </w:r>
      <w:r w:rsidRPr="00BE1CCB">
        <w:rPr>
          <w:b/>
          <w:color w:val="000000" w:themeColor="text1"/>
          <w:szCs w:val="28"/>
        </w:rPr>
        <w:t>Dự kiến thu ngân sách huyện năm 2017</w:t>
      </w:r>
      <w:r w:rsidRPr="00BE1CCB">
        <w:rPr>
          <w:color w:val="000000" w:themeColor="text1"/>
          <w:szCs w:val="28"/>
        </w:rPr>
        <w:t xml:space="preserve">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Năm 2017, UBND tỉnh giao thu ngân sách trên địa bàn huyện dự kiến là 60,220 tỷ đồng, trong đó Chi cục Thuế huyện thu 20,130 tỷ đồng (thấp hơn năm 2016). Cụ thể:</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từ xí nghiệp quốc doanh trung ương: 0,3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từ xí nghiệp quốc doanh địa phương: 0,3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từ Công thương nghiệp &amp; Dịch vụ ngoài quốc doanh: 11,870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Thuế thu nhập cá nhân: 2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 Tiền sử dụng đất: 1 tỷ đồng;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thuế nhà đất, thuế sử dụng đất phi nông nghiệp: 0,02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tiền cho thuê mặt đất, mặt nước: 0,02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Lệ phí trước bạ: 1,850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phí, lệ phí: 1,430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khác ngân sách: 1,290 tỷ đồng;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Thu khác tại xã: 0,05 tỷ đồng.</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4. Nhận xét, đánh giá</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4.1. Kết quả đạt được</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Dưới sự quan tâm chỉ đạo quyết liệt, thường xuyên của cấp ủy và chính quyền địa phương từ huyện xuống xã cùng với sự nỗ lực của các cơ quan chức năng trong thực hiện nhiệm vụ, hoạt động thu ngân sách nhà nước trên địa bàn huyện luôn đạt được những kết quả tích cực, góp phần thực hiện thắng lợi các nhiệm vụ kinh tế - xã hội của địa phương.</w:t>
      </w:r>
    </w:p>
    <w:p w:rsidR="00B41E44" w:rsidRPr="00BE1CCB" w:rsidRDefault="00B41E44" w:rsidP="00B41E44">
      <w:pPr>
        <w:spacing w:before="60"/>
        <w:ind w:firstLine="709"/>
        <w:jc w:val="both"/>
        <w:rPr>
          <w:color w:val="000000" w:themeColor="text1"/>
          <w:szCs w:val="28"/>
          <w:lang w:val="nl-NL"/>
        </w:rPr>
      </w:pPr>
      <w:r w:rsidRPr="00BE1CCB">
        <w:rPr>
          <w:color w:val="000000" w:themeColor="text1"/>
          <w:szCs w:val="28"/>
          <w:lang w:val="nl-NL"/>
        </w:rPr>
        <w:t>Công tác lập dự toán thu ngân sách đã bám sát các văn bản hướng dẫn của cấp trên, xác định cụ thể từng nguồn thu, từng sắc thuế phát sinh trên địa bàn, trên cơ sở tích cực chủ động khai thác tốt mọi nguồn thu nhằm tăng thu cho ngân sách nhà nước. Do đó, nhiều chỉ tiêu có số thu đạt và vượt dự toán tỉnh và HĐND huyện giao.</w:t>
      </w:r>
    </w:p>
    <w:p w:rsidR="00B41E44" w:rsidRPr="00BE1CCB" w:rsidRDefault="00B41E44" w:rsidP="00B41E44">
      <w:pPr>
        <w:spacing w:before="60"/>
        <w:ind w:firstLine="709"/>
        <w:jc w:val="both"/>
        <w:rPr>
          <w:b/>
          <w:color w:val="000000" w:themeColor="text1"/>
          <w:szCs w:val="28"/>
          <w:lang w:val="nl-NL"/>
        </w:rPr>
      </w:pPr>
      <w:r w:rsidRPr="00BE1CCB">
        <w:rPr>
          <w:color w:val="000000" w:themeColor="text1"/>
          <w:szCs w:val="28"/>
        </w:rPr>
        <w:t xml:space="preserve">Chi cục Thuế huyện đã thường xuyên phối hợp với các ngành, UBND các xã, thị trấn trong việc triển khai các giải pháp tăng thu, chống thất thu và nợ đọng thuế. Đã tăng cường quản lý đối tượng nộp thuế, chủ động tham mưu kịp thời cho </w:t>
      </w:r>
      <w:r w:rsidRPr="00BE1CCB">
        <w:rPr>
          <w:color w:val="000000" w:themeColor="text1"/>
          <w:szCs w:val="28"/>
        </w:rPr>
        <w:lastRenderedPageBreak/>
        <w:t>cấp ủy, chính quyền địa phương trong việc tổ chức thực hiện dự toán và khai thác triệt để các nguồn thu trên địa bàn huyện.</w:t>
      </w:r>
    </w:p>
    <w:p w:rsidR="00B41E44" w:rsidRPr="00BE1CCB" w:rsidRDefault="00B41E44" w:rsidP="00B41E44">
      <w:pPr>
        <w:spacing w:before="60"/>
        <w:ind w:firstLine="709"/>
        <w:jc w:val="both"/>
        <w:rPr>
          <w:b/>
          <w:color w:val="000000" w:themeColor="text1"/>
          <w:szCs w:val="28"/>
          <w:lang w:val="nl-NL"/>
        </w:rPr>
      </w:pPr>
      <w:r w:rsidRPr="00BE1CCB">
        <w:rPr>
          <w:b/>
          <w:color w:val="000000" w:themeColor="text1"/>
          <w:szCs w:val="28"/>
          <w:lang w:val="nl-NL"/>
        </w:rPr>
        <w:t>4.2. Tồn tại, hạn chế</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Bên cạnh một số sắc thuế thu đạt tỷ lệ cao, vẫn còn nhiều sắc thuế thu đạt thấp, chưa đạt dự toán giao như thu từ khu vực nhà nước trung ương, khu vực nhà nước địa phương, các khoản thu về nhà đất... </w:t>
      </w:r>
      <w:r w:rsidRPr="00BE1CCB">
        <w:rPr>
          <w:color w:val="000000" w:themeColor="text1"/>
          <w:szCs w:val="28"/>
          <w:lang w:val="nl-NL"/>
        </w:rPr>
        <w:t>Một số khoản thu vẫn chưa đánh giá đúng nguồn thu và khả năng thu của địa phương</w:t>
      </w:r>
      <w:r w:rsidRPr="00BE1CCB">
        <w:rPr>
          <w:color w:val="000000" w:themeColor="text1"/>
          <w:szCs w:val="28"/>
          <w:lang w:val="vi-VN"/>
        </w:rPr>
        <w:t xml:space="preserve"> như thu phí, thuế từ các dịch vụ </w:t>
      </w:r>
      <w:r w:rsidRPr="00BE1CCB">
        <w:rPr>
          <w:color w:val="000000" w:themeColor="text1"/>
          <w:szCs w:val="28"/>
        </w:rPr>
        <w:t>đám cưới tự do, thu từ hoạt động bán mủ cao su... Một số khoản bắt buộc thu nhưng chưa có giải pháp tổ chức thu triệt để như thuế xây dựng nhà ở tư nhân; thuế sử dụng đất nông nghiệp vượt hạn điền</w:t>
      </w:r>
      <w:r w:rsidRPr="00BE1CCB">
        <w:rPr>
          <w:color w:val="000000" w:themeColor="text1"/>
          <w:szCs w:val="28"/>
          <w:lang w:val="vi-VN"/>
        </w:rPr>
        <w:t xml:space="preserve">; </w:t>
      </w:r>
      <w:r w:rsidRPr="00BE1CCB">
        <w:rPr>
          <w:color w:val="000000" w:themeColor="text1"/>
          <w:szCs w:val="28"/>
        </w:rPr>
        <w:t>thuế sử dụng đất nông nông nghiệp thuộc diện không được miễn giảm theo quy định hoặc chưa được UBND huyện chuyển sang cho thuê đất...</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Công tác phối hợp giữa các ngành trong xây dựng kế hoạch thu ngân sách chưa chặt chẽ, thiếu đồng bộ. </w:t>
      </w:r>
    </w:p>
    <w:p w:rsidR="00B41E44" w:rsidRPr="00BE1CCB" w:rsidRDefault="00B41E44" w:rsidP="00B41E44">
      <w:pPr>
        <w:spacing w:before="60"/>
        <w:ind w:firstLine="709"/>
        <w:jc w:val="both"/>
        <w:rPr>
          <w:color w:val="000000" w:themeColor="text1"/>
          <w:szCs w:val="28"/>
          <w:lang w:val="vi-VN"/>
        </w:rPr>
      </w:pPr>
      <w:r w:rsidRPr="00BE1CCB">
        <w:rPr>
          <w:color w:val="000000" w:themeColor="text1"/>
          <w:szCs w:val="28"/>
        </w:rPr>
        <w:t>Một số xã, thị trấn chưa chú trọng thực hiện nhiệm vụ thu ngân sách trên địa bàn</w:t>
      </w:r>
      <w:r w:rsidRPr="00BE1CCB">
        <w:rPr>
          <w:color w:val="000000" w:themeColor="text1"/>
          <w:szCs w:val="28"/>
          <w:lang w:val="vi-VN"/>
        </w:rPr>
        <w:t xml:space="preserve">, </w:t>
      </w:r>
      <w:r w:rsidRPr="00BE1CCB">
        <w:rPr>
          <w:color w:val="000000" w:themeColor="text1"/>
          <w:szCs w:val="28"/>
        </w:rPr>
        <w:t>chưa chỉ đạo quyết liệt công tác thu ngân sách</w:t>
      </w:r>
      <w:r w:rsidRPr="00BE1CCB">
        <w:rPr>
          <w:color w:val="000000" w:themeColor="text1"/>
          <w:szCs w:val="28"/>
          <w:lang w:val="vi-VN"/>
        </w:rPr>
        <w:t>, còn đùn đẩy trách nhiệm cho ngành Thuế.</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II. Tình hình chi ngân sách nhà nước trên địa bàn huyện năm 2016 và dự kiến phân bổ ngân sách huyện năm 2017</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 xml:space="preserve">1. Tình hình chi ngân sách nhà nước trên địa bàn huyện năm 2016 </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Dự toán chi ngân sách huyện năm 2016 được UBND tỉnh giao 225,099 tỷ đồng, HĐND huyện giao 229,399 tỷ đồng. Thực hiện chi ngân sách huyện đến tháng 9 năm 2016 là 175,383 tỷ đồng, đạt 78% dự toán tỉnh giao và đạt 76% dự toán HĐND huyện giao. Ước thực hiện năm là 299,485 tỷ đồng, đạt 133% dự toán tỉnh giao và đạt 130% dự toán HĐND huyện giao. Trong đó:</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Chi đầu tư phát triển là 23,371 tỷ đồng, đạt 52%; ước thực hiện năm 45,347 tỷ đồng, đạt 217% so với dự toán;</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Chi thường xuyên là 152,012 tỷ đồng, đạt 62%; ước thực hiện năm 247,032 tỷ đồng, đạt 121% so với dự toán;</w:t>
      </w:r>
    </w:p>
    <w:p w:rsidR="00B41E44" w:rsidRPr="00BE1CCB" w:rsidRDefault="00B41E44" w:rsidP="00B41E44">
      <w:pPr>
        <w:spacing w:before="60"/>
        <w:ind w:firstLine="709"/>
        <w:jc w:val="both"/>
        <w:rPr>
          <w:b/>
          <w:color w:val="000000" w:themeColor="text1"/>
          <w:szCs w:val="28"/>
          <w:lang w:val="vi-VN"/>
        </w:rPr>
      </w:pPr>
      <w:r w:rsidRPr="00BE1CCB">
        <w:rPr>
          <w:color w:val="000000" w:themeColor="text1"/>
          <w:szCs w:val="28"/>
        </w:rPr>
        <w:t>- Chi dự phòng là 2,830 tỷ đồng, đạt 40% dự toán; ước thực hiện năm 7,106 tỷ đồng, đạt 100%.</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2. Dự kiến phân bổ chi ngân sách huyện năm 2017</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Trên cơ sở dự toán tỉnh giao và khả năng nguồn thu ngân sách huyện, dự kiến chi ngân sách huyện năm 2017 là 272,404 tỷ đồng, trong đó:</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Chi đầu tư phát triển là 48,048 tỷ đồng, chiếm 17.6% tổng dự toán chi ngân sách;</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Chi thường xuyên là 219,556 tỷ đồng, chiếm 80.5% tổng dự toán chi ngân sách;</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Chi dự phòng là 4.4 tỷ đồng, chiếm 1.6% tổng dự toán chi ngân sách;</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 Các khoản chi được ghi thu ghi chi quản lý qua ngân sách nhà nước: 0,4 tỷ đồng, chiếm 0.3% tổng dự toán chi ngân sách. </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3. Nhận xét, đánh giá</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lastRenderedPageBreak/>
        <w:t>3.1. Kết quả đạt được</w:t>
      </w:r>
    </w:p>
    <w:p w:rsidR="00B41E44" w:rsidRPr="00BE1CCB" w:rsidRDefault="00B41E44" w:rsidP="00B41E44">
      <w:pPr>
        <w:spacing w:before="60"/>
        <w:ind w:firstLine="709"/>
        <w:jc w:val="both"/>
        <w:rPr>
          <w:color w:val="000000" w:themeColor="text1"/>
          <w:szCs w:val="28"/>
          <w:lang w:val="nl-NL"/>
        </w:rPr>
      </w:pPr>
      <w:r w:rsidRPr="00BE1CCB">
        <w:rPr>
          <w:color w:val="000000" w:themeColor="text1"/>
          <w:szCs w:val="28"/>
          <w:lang w:val="nl-NL"/>
        </w:rPr>
        <w:t>Công tác điều hành và quản lý chi ngân sách của các đơn vị, địa phương đã bám sát dự toán được giao, đáp ứng được các nhiệm vụ và kế hoạch đề ra. Các nhiệm vụ chi ngân sách về cơ bản đều đạt dự toán, đã góp phần hoàn thành các chỉ tiêu kinh tế - xã hội của huyện.</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Ngoài nhiệm vụ chi thường xuyên, đã chủ động bố trí kinh phí thực hiện các nhiệm vụ đột xuất phát sinh như đảm bảo an sinh - xã hội, phòng chống dịch bệnh, phòng chống hạn hán và những nhiệm vụ chính trị lớn của địa phương.</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Chủ động cân đối nguồn lực để thanh toán nợ đọng các công trình xây dựng cơ bản trên địa bàn huyện theo Chỉ thị của Chính phủ và UBND tỉnh.</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Việc phân bổ dự toán chi ngân sách huyện năm 2017 đã căn cứ vào định mức quy định, thực hiện cơ cấu chi theo hướng ưu tiên chi cho con người, bảo đảm an sinh xã hội, tiết kiệm tối đa các nhiệm vụ chi không thực sự cần thiết.</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3.2. Tồn tại, hạn chế</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Một số đơn vị chưa chủ động cân đối kinh phí được giao, chưa bố trí, sắp xếp nhiệm vụ chi phù hợp với kinh phí được phân bổ, thường xuyên xin bổ sung kinh phí trong năm cho các nhiệm vụ không mang tính đột xuất, gây khó khăn cho công tác quản lý, điều hành ngân sách trong năm.</w:t>
      </w:r>
    </w:p>
    <w:p w:rsidR="00B41E44" w:rsidRPr="00BE1CCB" w:rsidRDefault="00B41E44" w:rsidP="00B41E44">
      <w:pPr>
        <w:spacing w:before="60"/>
        <w:ind w:firstLine="709"/>
        <w:jc w:val="both"/>
        <w:rPr>
          <w:color w:val="000000" w:themeColor="text1"/>
          <w:szCs w:val="28"/>
          <w:lang w:val="vi-VN"/>
        </w:rPr>
      </w:pPr>
      <w:r w:rsidRPr="00BE1CCB">
        <w:rPr>
          <w:color w:val="000000" w:themeColor="text1"/>
          <w:szCs w:val="28"/>
        </w:rPr>
        <w:t>Công tác phân bổ dự toán và thực hiện giải ngân một số nhiệm vụ đã được giao trong dự toán năm ở một số đơn vị tiến độ còn chậm.</w:t>
      </w:r>
    </w:p>
    <w:p w:rsidR="00B41E44" w:rsidRPr="00BE1CCB" w:rsidRDefault="00B41E44" w:rsidP="00B41E44">
      <w:pPr>
        <w:spacing w:before="60"/>
        <w:ind w:firstLine="709"/>
        <w:jc w:val="both"/>
        <w:rPr>
          <w:color w:val="000000" w:themeColor="text1"/>
          <w:szCs w:val="28"/>
        </w:rPr>
      </w:pPr>
      <w:r w:rsidRPr="00BE1CCB">
        <w:rPr>
          <w:color w:val="000000" w:themeColor="text1"/>
          <w:szCs w:val="28"/>
          <w:lang w:val="vi-VN"/>
        </w:rPr>
        <w:t xml:space="preserve">Các khoản thu phí, lệ phí; các khoản </w:t>
      </w:r>
      <w:r w:rsidRPr="00BE1CCB">
        <w:rPr>
          <w:color w:val="000000" w:themeColor="text1"/>
          <w:szCs w:val="28"/>
        </w:rPr>
        <w:t>ghi thu ghi chi quản lý qua ngân sách nhà nước</w:t>
      </w:r>
      <w:r w:rsidRPr="00BE1CCB">
        <w:rPr>
          <w:color w:val="000000" w:themeColor="text1"/>
          <w:szCs w:val="28"/>
          <w:lang w:val="vi-VN"/>
        </w:rPr>
        <w:t xml:space="preserve">; các khoản kinh phí thực hiện dự án, đề án do trung ương, tỉnh </w:t>
      </w:r>
      <w:r w:rsidRPr="00BE1CCB">
        <w:rPr>
          <w:color w:val="000000" w:themeColor="text1"/>
          <w:szCs w:val="28"/>
        </w:rPr>
        <w:t>ủy quyền cho huyện thực hiện.</w:t>
      </w:r>
      <w:r w:rsidRPr="00BE1CCB">
        <w:rPr>
          <w:color w:val="000000" w:themeColor="text1"/>
          <w:szCs w:val="28"/>
          <w:lang w:val="vi-VN"/>
        </w:rPr>
        <w:t>.. chưa giao</w:t>
      </w:r>
      <w:r w:rsidRPr="00BE1CCB">
        <w:rPr>
          <w:color w:val="000000" w:themeColor="text1"/>
          <w:szCs w:val="28"/>
        </w:rPr>
        <w:t xml:space="preserve"> bổ sung</w:t>
      </w:r>
      <w:r w:rsidRPr="00BE1CCB">
        <w:rPr>
          <w:color w:val="000000" w:themeColor="text1"/>
          <w:szCs w:val="28"/>
          <w:lang w:val="vi-VN"/>
        </w:rPr>
        <w:t xml:space="preserve"> dự toán </w:t>
      </w:r>
      <w:r w:rsidRPr="00BE1CCB">
        <w:rPr>
          <w:color w:val="000000" w:themeColor="text1"/>
          <w:szCs w:val="28"/>
        </w:rPr>
        <w:t xml:space="preserve">thu </w:t>
      </w:r>
      <w:r w:rsidRPr="00BE1CCB">
        <w:rPr>
          <w:color w:val="000000" w:themeColor="text1"/>
          <w:szCs w:val="28"/>
          <w:lang w:val="vi-VN"/>
        </w:rPr>
        <w:t xml:space="preserve">cụ thể cho từng đơn vị, địa phương, </w:t>
      </w:r>
      <w:r w:rsidRPr="00BE1CCB">
        <w:rPr>
          <w:color w:val="000000" w:themeColor="text1"/>
          <w:szCs w:val="28"/>
        </w:rPr>
        <w:t>nhằm giảm ngân sách hoạt động ngoài lương của các cơ quan, đơn vị.</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Quản lý chi thường xuyên ở một số cơ quan, đơn vị chưa thực sự tiết kiệm nhất là trong mua sắm, tiếp khách, điện, nước, xăng dầu…</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III. Đề xuất, kiến nghị</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1. Đối với UBND huyện</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Chỉ đạo các cơ quan tập trung triển khai </w:t>
      </w:r>
      <w:r w:rsidRPr="00BE1CCB">
        <w:rPr>
          <w:color w:val="000000" w:themeColor="text1"/>
          <w:szCs w:val="28"/>
          <w:lang w:val="vi-VN"/>
        </w:rPr>
        <w:t>đẩy nhanh tiến độ giao đất ở, cấp quyền sử dụng đất</w:t>
      </w:r>
      <w:r w:rsidRPr="00BE1CCB">
        <w:rPr>
          <w:color w:val="000000" w:themeColor="text1"/>
          <w:szCs w:val="28"/>
        </w:rPr>
        <w:t xml:space="preserve"> </w:t>
      </w:r>
      <w:r w:rsidRPr="00BE1CCB">
        <w:rPr>
          <w:color w:val="000000" w:themeColor="text1"/>
          <w:szCs w:val="28"/>
          <w:lang w:val="vi-VN"/>
        </w:rPr>
        <w:t xml:space="preserve">đối với các khu vực đã được giao đất, rà soát để thu </w:t>
      </w:r>
      <w:r w:rsidRPr="00BE1CCB">
        <w:rPr>
          <w:color w:val="000000" w:themeColor="text1"/>
          <w:szCs w:val="28"/>
        </w:rPr>
        <w:t>tiền sử dụng đất nộp</w:t>
      </w:r>
      <w:r w:rsidRPr="00BE1CCB">
        <w:rPr>
          <w:color w:val="000000" w:themeColor="text1"/>
          <w:szCs w:val="28"/>
          <w:lang w:val="vi-VN"/>
        </w:rPr>
        <w:t xml:space="preserve"> vào ngân sách</w:t>
      </w:r>
      <w:r w:rsidRPr="00BE1CCB">
        <w:rPr>
          <w:color w:val="000000" w:themeColor="text1"/>
          <w:szCs w:val="28"/>
        </w:rPr>
        <w:t xml:space="preserve"> nhà nước</w:t>
      </w:r>
      <w:r w:rsidRPr="00BE1CCB">
        <w:rPr>
          <w:color w:val="000000" w:themeColor="text1"/>
          <w:szCs w:val="28"/>
          <w:lang w:val="vi-VN"/>
        </w:rPr>
        <w:t xml:space="preserve">, bán đấu giá một số </w:t>
      </w:r>
      <w:r w:rsidRPr="00BE1CCB">
        <w:rPr>
          <w:color w:val="000000" w:themeColor="text1"/>
          <w:szCs w:val="28"/>
        </w:rPr>
        <w:t>vị trí đất đã được phê duyệt theo kế hoạch.</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 xml:space="preserve">Chỉ đạo các ngành (Tài nguyên &amp; Môi trường, Chi cục Thuế...) phối hợp với UBND các xã, thị trấn xây dựng kế hoạch thu thuế xây dựng nhà ở tư nhân, </w:t>
      </w:r>
      <w:r w:rsidRPr="00BE1CCB">
        <w:rPr>
          <w:color w:val="000000" w:themeColor="text1"/>
          <w:szCs w:val="28"/>
          <w:lang w:val="vi-VN"/>
        </w:rPr>
        <w:t xml:space="preserve">thuế thuê đất nông nghiệp; thuế </w:t>
      </w:r>
      <w:r w:rsidRPr="00BE1CCB">
        <w:rPr>
          <w:color w:val="000000" w:themeColor="text1"/>
          <w:szCs w:val="28"/>
        </w:rPr>
        <w:t>sử dụng đất nông nghiệp</w:t>
      </w:r>
      <w:r w:rsidRPr="00BE1CCB">
        <w:rPr>
          <w:color w:val="000000" w:themeColor="text1"/>
          <w:szCs w:val="28"/>
          <w:lang w:val="vi-VN"/>
        </w:rPr>
        <w:t>, đất ở</w:t>
      </w:r>
      <w:r w:rsidRPr="00BE1CCB">
        <w:rPr>
          <w:color w:val="000000" w:themeColor="text1"/>
          <w:szCs w:val="28"/>
        </w:rPr>
        <w:t xml:space="preserve"> vượt hạn điền</w:t>
      </w:r>
      <w:r w:rsidRPr="00BE1CCB">
        <w:rPr>
          <w:color w:val="000000" w:themeColor="text1"/>
          <w:szCs w:val="28"/>
          <w:lang w:val="vi-VN"/>
        </w:rPr>
        <w:t xml:space="preserve">; </w:t>
      </w:r>
      <w:r w:rsidRPr="00BE1CCB">
        <w:rPr>
          <w:color w:val="000000" w:themeColor="text1"/>
          <w:szCs w:val="28"/>
        </w:rPr>
        <w:t xml:space="preserve">thuế </w:t>
      </w:r>
      <w:r w:rsidRPr="00BE1CCB">
        <w:rPr>
          <w:color w:val="000000" w:themeColor="text1"/>
          <w:szCs w:val="28"/>
          <w:lang w:val="vi-VN"/>
        </w:rPr>
        <w:t>từ các dịch vụ..</w:t>
      </w:r>
      <w:r w:rsidRPr="00BE1CCB">
        <w:rPr>
          <w:color w:val="000000" w:themeColor="text1"/>
          <w:szCs w:val="28"/>
        </w:rPr>
        <w:t>. Xử lý nghiêm các hộ gia đình xây dựng nhà ở trái phép trên đất nông nghiệp, nay đã được cấp thẩm quyền phê duyệt chuyển đổi sang đất ở nhưng không thực hiện việc chuyển đổi mục đích sử dụng đất theo quy định nhằm đảm bảo công bằng xã hội và tạo nguồn thu cho ngân sách huyện.</w:t>
      </w:r>
    </w:p>
    <w:p w:rsidR="00B41E44" w:rsidRPr="00BE1CCB" w:rsidRDefault="00B41E44" w:rsidP="00B41E44">
      <w:pPr>
        <w:spacing w:before="60"/>
        <w:ind w:firstLine="709"/>
        <w:jc w:val="both"/>
        <w:rPr>
          <w:color w:val="000000" w:themeColor="text1"/>
          <w:szCs w:val="28"/>
          <w:lang w:val="vi-VN"/>
        </w:rPr>
      </w:pPr>
      <w:r w:rsidRPr="00BE1CCB">
        <w:rPr>
          <w:color w:val="000000" w:themeColor="text1"/>
          <w:szCs w:val="28"/>
        </w:rPr>
        <w:t xml:space="preserve">Chỉ đạo các cơ quan, đơn vị, UBND các xã, thị trấn </w:t>
      </w:r>
      <w:r w:rsidRPr="00BE1CCB">
        <w:rPr>
          <w:color w:val="000000" w:themeColor="text1"/>
          <w:szCs w:val="28"/>
          <w:lang w:val="nl-NL"/>
        </w:rPr>
        <w:t xml:space="preserve">chủ động rà soát các nhiệm vụ chi trong dự toán năm được giao, </w:t>
      </w:r>
      <w:r w:rsidRPr="00BE1CCB">
        <w:rPr>
          <w:color w:val="000000" w:themeColor="text1"/>
          <w:spacing w:val="-6"/>
          <w:szCs w:val="28"/>
          <w:lang w:val="nl-NL"/>
        </w:rPr>
        <w:t xml:space="preserve">sắp xếp thứ tự các nhiệm vụ chi ưu tiên </w:t>
      </w:r>
      <w:r w:rsidRPr="00BE1CCB">
        <w:rPr>
          <w:color w:val="000000" w:themeColor="text1"/>
          <w:spacing w:val="-6"/>
          <w:szCs w:val="28"/>
          <w:lang w:val="nl-NL"/>
        </w:rPr>
        <w:lastRenderedPageBreak/>
        <w:t xml:space="preserve">theo mức độ cấp thiết; </w:t>
      </w:r>
      <w:r w:rsidRPr="00BE1CCB">
        <w:rPr>
          <w:color w:val="000000" w:themeColor="text1"/>
          <w:szCs w:val="28"/>
          <w:lang w:val="nl-NL"/>
        </w:rPr>
        <w:t xml:space="preserve">tăng cường quản lý chi tiêu đảm bảo tiết kiệm, chặt chẽ và hiệu quả. </w:t>
      </w:r>
    </w:p>
    <w:p w:rsidR="00B41E44" w:rsidRPr="00BE1CCB" w:rsidRDefault="00B41E44" w:rsidP="00B41E44">
      <w:pPr>
        <w:spacing w:before="60"/>
        <w:ind w:firstLine="709"/>
        <w:jc w:val="both"/>
        <w:rPr>
          <w:color w:val="000000" w:themeColor="text1"/>
          <w:szCs w:val="28"/>
        </w:rPr>
      </w:pPr>
      <w:r w:rsidRPr="00BE1CCB">
        <w:rPr>
          <w:color w:val="000000" w:themeColor="text1"/>
          <w:szCs w:val="28"/>
          <w:lang w:val="vi-VN"/>
        </w:rPr>
        <w:t xml:space="preserve">Thực hiện giao dự toán ngân sách phải tính đúng, tính đủ, không bỏ sót các khoản thu và các nhiệm vụ chi. </w:t>
      </w:r>
      <w:r w:rsidRPr="00BE1CCB">
        <w:rPr>
          <w:color w:val="000000" w:themeColor="text1"/>
          <w:szCs w:val="28"/>
          <w:lang w:val="nl-NL"/>
        </w:rPr>
        <w:t>Chủ động bố trí dự phòng cho các nhiệm vụ phòng chống thiên tai, phòng chống dịch bệnh... đảm bảo tỷ lệ theo quy định</w:t>
      </w:r>
      <w:r w:rsidRPr="00BE1CCB">
        <w:rPr>
          <w:color w:val="000000" w:themeColor="text1"/>
          <w:szCs w:val="28"/>
          <w:lang w:val="vi-VN"/>
        </w:rPr>
        <w:t xml:space="preserve"> của Luật ngân sách</w:t>
      </w:r>
      <w:r w:rsidRPr="00BE1CCB">
        <w:rPr>
          <w:color w:val="000000" w:themeColor="text1"/>
          <w:szCs w:val="28"/>
        </w:rPr>
        <w:t>.</w:t>
      </w:r>
    </w:p>
    <w:p w:rsidR="00B41E44" w:rsidRPr="00BE1CCB" w:rsidRDefault="00B41E44" w:rsidP="00B41E44">
      <w:pPr>
        <w:spacing w:before="60"/>
        <w:ind w:firstLine="709"/>
        <w:jc w:val="both"/>
        <w:rPr>
          <w:color w:val="000000" w:themeColor="text1"/>
          <w:szCs w:val="28"/>
          <w:lang w:val="nl-NL"/>
        </w:rPr>
      </w:pPr>
      <w:r w:rsidRPr="00BE1CCB">
        <w:rPr>
          <w:color w:val="000000" w:themeColor="text1"/>
          <w:szCs w:val="28"/>
          <w:lang w:val="nl-NL"/>
        </w:rPr>
        <w:t>Phát động trong hệ thống chính trị, tổ chức kinh tế thi đua thực hành tiết kiệm, chống lãng phí. Không bổ sung chi ngân sách ngoài dự toán, trừ các trường hợp thực hiện chế độ, chính sách, phòng chống, khắc phục hậu quả thiên tai, dịch bệnh. Thủ trưởng các đơn vị phải chịu trách nhiệm quản lý, điều hành nguồn ngân sách và tài sản công được giao.</w:t>
      </w:r>
    </w:p>
    <w:p w:rsidR="00B41E44" w:rsidRPr="00BE1CCB" w:rsidRDefault="00B41E44" w:rsidP="00B41E44">
      <w:pPr>
        <w:spacing w:before="60"/>
        <w:ind w:firstLine="709"/>
        <w:jc w:val="both"/>
        <w:rPr>
          <w:color w:val="000000" w:themeColor="text1"/>
          <w:szCs w:val="28"/>
          <w:lang w:val="vi-VN"/>
        </w:rPr>
      </w:pPr>
      <w:r w:rsidRPr="00BE1CCB">
        <w:rPr>
          <w:color w:val="000000" w:themeColor="text1"/>
          <w:szCs w:val="28"/>
          <w:lang w:val="nl-NL"/>
        </w:rPr>
        <w:t>Tăng cường công tác kiểm tra, giám sát việc chấp hành ngân sách để kịp thời phát hiện, xử lý nghiêm những trường hợp sai phạm.</w:t>
      </w:r>
      <w:r w:rsidRPr="00BE1CCB">
        <w:rPr>
          <w:color w:val="000000" w:themeColor="text1"/>
          <w:szCs w:val="28"/>
          <w:lang w:val="vi-VN"/>
        </w:rPr>
        <w:t xml:space="preserve"> </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2. Đối với Chi cục Thuế</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Thực hiện quyết liệt, đồng bộ các giải pháp thu trong các tháng còn lại để hoàn thành dự toán được giao.</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Tiếp tục phối hợp chặt chẽ với các ngành, các xã, thị trấn rà soát các nguồn thu phát sinh trên địa bàn để điều chỉnh tăng thu, không để sót nguồn thu, chống thất thu ngân sách, chống gian lận thương mại và chống lạm thu.</w:t>
      </w:r>
    </w:p>
    <w:p w:rsidR="00B41E44" w:rsidRPr="00BE1CCB" w:rsidRDefault="00B41E44" w:rsidP="00B41E44">
      <w:pPr>
        <w:spacing w:before="60"/>
        <w:ind w:firstLine="709"/>
        <w:jc w:val="both"/>
        <w:rPr>
          <w:color w:val="000000" w:themeColor="text1"/>
          <w:szCs w:val="28"/>
          <w:lang w:val="nl-NL"/>
        </w:rPr>
      </w:pPr>
      <w:r w:rsidRPr="00BE1CCB">
        <w:rPr>
          <w:color w:val="000000" w:themeColor="text1"/>
          <w:szCs w:val="28"/>
          <w:lang w:val="nl-NL"/>
        </w:rPr>
        <w:t>Tập trung triển khai kiểm tra, thanh quyết toán với các đối tượng còn nợ đọng thuế để cưỡng chế truy thu nộp ngân sách Nhà nước.</w:t>
      </w:r>
    </w:p>
    <w:p w:rsidR="00B41E44" w:rsidRPr="00BE1CCB" w:rsidRDefault="00B41E44" w:rsidP="00B41E44">
      <w:pPr>
        <w:spacing w:before="60"/>
        <w:ind w:firstLine="709"/>
        <w:jc w:val="both"/>
        <w:rPr>
          <w:b/>
          <w:color w:val="000000" w:themeColor="text1"/>
          <w:szCs w:val="28"/>
        </w:rPr>
      </w:pPr>
      <w:r w:rsidRPr="00BE1CCB">
        <w:rPr>
          <w:b/>
          <w:color w:val="000000" w:themeColor="text1"/>
          <w:szCs w:val="28"/>
        </w:rPr>
        <w:t>3. Đối với Phòng Tài chính – Kế hoạch</w:t>
      </w:r>
    </w:p>
    <w:p w:rsidR="00B41E44" w:rsidRPr="00BE1CCB" w:rsidRDefault="00B41E44" w:rsidP="00B41E44">
      <w:pPr>
        <w:spacing w:before="60"/>
        <w:ind w:firstLine="709"/>
        <w:jc w:val="both"/>
        <w:rPr>
          <w:color w:val="000000" w:themeColor="text1"/>
          <w:szCs w:val="28"/>
        </w:rPr>
      </w:pPr>
      <w:r w:rsidRPr="00BE1CCB">
        <w:rPr>
          <w:color w:val="000000" w:themeColor="text1"/>
          <w:spacing w:val="-6"/>
          <w:szCs w:val="28"/>
          <w:lang w:val="nl-NL"/>
        </w:rPr>
        <w:t>Tăng cường công tác</w:t>
      </w:r>
      <w:r w:rsidRPr="00BE1CCB">
        <w:rPr>
          <w:color w:val="000000" w:themeColor="text1"/>
          <w:spacing w:val="-6"/>
          <w:szCs w:val="28"/>
          <w:lang w:val="vi-VN"/>
        </w:rPr>
        <w:t xml:space="preserve"> kiểm tra,</w:t>
      </w:r>
      <w:r w:rsidRPr="00BE1CCB">
        <w:rPr>
          <w:color w:val="000000" w:themeColor="text1"/>
          <w:spacing w:val="-6"/>
          <w:szCs w:val="28"/>
          <w:lang w:val="nl-NL"/>
        </w:rPr>
        <w:t xml:space="preserve"> hướng dẫn các cơ quan, đơn vị và các xã, thị trấn lập dự toán </w:t>
      </w:r>
      <w:r w:rsidRPr="00BE1CCB">
        <w:rPr>
          <w:color w:val="000000" w:themeColor="text1"/>
          <w:spacing w:val="-6"/>
          <w:szCs w:val="28"/>
          <w:lang w:val="vi-VN"/>
        </w:rPr>
        <w:t xml:space="preserve">thu, </w:t>
      </w:r>
      <w:r w:rsidRPr="00BE1CCB">
        <w:rPr>
          <w:color w:val="000000" w:themeColor="text1"/>
          <w:spacing w:val="-6"/>
          <w:szCs w:val="28"/>
          <w:lang w:val="nl-NL"/>
        </w:rPr>
        <w:t>chi</w:t>
      </w:r>
      <w:r w:rsidRPr="00BE1CCB">
        <w:rPr>
          <w:color w:val="000000" w:themeColor="text1"/>
          <w:spacing w:val="-6"/>
          <w:szCs w:val="28"/>
          <w:lang w:val="vi-VN"/>
        </w:rPr>
        <w:t>, quyết toán</w:t>
      </w:r>
      <w:r w:rsidRPr="00BE1CCB">
        <w:rPr>
          <w:color w:val="000000" w:themeColor="text1"/>
          <w:spacing w:val="-6"/>
          <w:szCs w:val="28"/>
          <w:lang w:val="nl-NL"/>
        </w:rPr>
        <w:t xml:space="preserve"> ngân sách nhà nước theo đúng các quy định </w:t>
      </w:r>
      <w:r w:rsidRPr="00BE1CCB">
        <w:rPr>
          <w:color w:val="000000" w:themeColor="text1"/>
          <w:spacing w:val="-6"/>
          <w:szCs w:val="28"/>
          <w:lang w:val="vi-VN"/>
        </w:rPr>
        <w:t>(đặc biệt là các khoản phí, lệ phí, các khoản đóng góp của nhân dân...).</w:t>
      </w:r>
    </w:p>
    <w:p w:rsidR="00B41E44" w:rsidRPr="00BE1CCB" w:rsidRDefault="00B41E44" w:rsidP="00B41E44">
      <w:pPr>
        <w:spacing w:before="60"/>
        <w:ind w:firstLine="709"/>
        <w:jc w:val="both"/>
        <w:rPr>
          <w:color w:val="000000" w:themeColor="text1"/>
          <w:szCs w:val="28"/>
        </w:rPr>
      </w:pPr>
      <w:r w:rsidRPr="00BE1CCB">
        <w:rPr>
          <w:color w:val="000000" w:themeColor="text1"/>
          <w:szCs w:val="28"/>
        </w:rPr>
        <w:t>Thường trực HĐND huyện báo cáo kết quả giám sát để HĐND huyện biết./.</w:t>
      </w:r>
    </w:p>
    <w:p w:rsidR="00B41E44" w:rsidRPr="00D302DA" w:rsidRDefault="00B41E44" w:rsidP="00B41E44">
      <w:pPr>
        <w:spacing w:before="60"/>
        <w:ind w:firstLine="709"/>
        <w:jc w:val="both"/>
        <w:rPr>
          <w:color w:val="000000" w:themeColor="text1"/>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9"/>
        <w:gridCol w:w="4794"/>
      </w:tblGrid>
      <w:tr w:rsidR="00B41E44" w:rsidRPr="00D302DA" w:rsidTr="00A0534C">
        <w:trPr>
          <w:trHeight w:val="1550"/>
        </w:trPr>
        <w:tc>
          <w:tcPr>
            <w:tcW w:w="4813" w:type="dxa"/>
          </w:tcPr>
          <w:p w:rsidR="00B41E44" w:rsidRPr="00D208EE" w:rsidRDefault="00B41E44" w:rsidP="00A0534C">
            <w:pPr>
              <w:tabs>
                <w:tab w:val="center" w:pos="1620"/>
              </w:tabs>
              <w:rPr>
                <w:b/>
                <w:color w:val="000000" w:themeColor="text1"/>
                <w:sz w:val="24"/>
                <w:szCs w:val="24"/>
              </w:rPr>
            </w:pPr>
            <w:r w:rsidRPr="00D208EE">
              <w:rPr>
                <w:b/>
                <w:i/>
                <w:color w:val="000000" w:themeColor="text1"/>
                <w:sz w:val="24"/>
                <w:szCs w:val="24"/>
              </w:rPr>
              <w:t>Nơi nhận:</w:t>
            </w:r>
          </w:p>
          <w:p w:rsidR="00B41E44" w:rsidRPr="00D208EE" w:rsidRDefault="00B41E44" w:rsidP="00A0534C">
            <w:pPr>
              <w:tabs>
                <w:tab w:val="center" w:pos="1620"/>
              </w:tabs>
              <w:rPr>
                <w:color w:val="000000" w:themeColor="text1"/>
                <w:sz w:val="22"/>
              </w:rPr>
            </w:pPr>
            <w:r w:rsidRPr="00D208EE">
              <w:rPr>
                <w:color w:val="000000" w:themeColor="text1"/>
                <w:sz w:val="22"/>
              </w:rPr>
              <w:t>- TT Huyện ủy;</w:t>
            </w:r>
            <w:r>
              <w:rPr>
                <w:color w:val="000000" w:themeColor="text1"/>
                <w:sz w:val="22"/>
              </w:rPr>
              <w:t xml:space="preserve"> </w:t>
            </w:r>
            <w:r w:rsidRPr="00D208EE">
              <w:rPr>
                <w:color w:val="000000" w:themeColor="text1"/>
                <w:sz w:val="22"/>
              </w:rPr>
              <w:t>UBND huyện;</w:t>
            </w:r>
          </w:p>
          <w:p w:rsidR="00B41E44" w:rsidRPr="00D208EE" w:rsidRDefault="00B41E44" w:rsidP="00A0534C">
            <w:pPr>
              <w:tabs>
                <w:tab w:val="center" w:pos="1620"/>
              </w:tabs>
              <w:rPr>
                <w:color w:val="000000" w:themeColor="text1"/>
                <w:sz w:val="22"/>
              </w:rPr>
            </w:pPr>
            <w:r w:rsidRPr="00D208EE">
              <w:rPr>
                <w:color w:val="000000" w:themeColor="text1"/>
                <w:sz w:val="22"/>
              </w:rPr>
              <w:t>- Ủy ban MTTQVN huyện;</w:t>
            </w:r>
          </w:p>
          <w:p w:rsidR="00B41E44" w:rsidRPr="00D208EE" w:rsidRDefault="00B41E44" w:rsidP="00A0534C">
            <w:pPr>
              <w:tabs>
                <w:tab w:val="center" w:pos="1620"/>
              </w:tabs>
              <w:rPr>
                <w:color w:val="000000" w:themeColor="text1"/>
                <w:sz w:val="22"/>
              </w:rPr>
            </w:pPr>
            <w:r w:rsidRPr="00D208EE">
              <w:rPr>
                <w:color w:val="000000" w:themeColor="text1"/>
                <w:sz w:val="22"/>
              </w:rPr>
              <w:t>- Phòng Tài chính – Kế hoạch;</w:t>
            </w:r>
            <w:r>
              <w:rPr>
                <w:color w:val="000000" w:themeColor="text1"/>
                <w:sz w:val="22"/>
              </w:rPr>
              <w:t xml:space="preserve"> </w:t>
            </w:r>
            <w:r w:rsidRPr="00D208EE">
              <w:rPr>
                <w:color w:val="000000" w:themeColor="text1"/>
                <w:sz w:val="22"/>
              </w:rPr>
              <w:t>Chi cục Thuế;</w:t>
            </w:r>
          </w:p>
          <w:p w:rsidR="00B41E44" w:rsidRPr="00D208EE" w:rsidRDefault="00B41E44" w:rsidP="00A0534C">
            <w:pPr>
              <w:tabs>
                <w:tab w:val="center" w:pos="1620"/>
              </w:tabs>
              <w:rPr>
                <w:color w:val="000000" w:themeColor="text1"/>
                <w:sz w:val="22"/>
              </w:rPr>
            </w:pPr>
            <w:r w:rsidRPr="00D208EE">
              <w:rPr>
                <w:color w:val="000000" w:themeColor="text1"/>
                <w:sz w:val="22"/>
              </w:rPr>
              <w:t>- Đại biểu HĐND huyện;</w:t>
            </w:r>
          </w:p>
          <w:p w:rsidR="00B41E44" w:rsidRPr="00D302DA" w:rsidRDefault="00B41E44" w:rsidP="00A0534C">
            <w:pPr>
              <w:tabs>
                <w:tab w:val="center" w:pos="1620"/>
              </w:tabs>
              <w:rPr>
                <w:color w:val="000000" w:themeColor="text1"/>
                <w:sz w:val="26"/>
                <w:szCs w:val="26"/>
              </w:rPr>
            </w:pPr>
            <w:r w:rsidRPr="00D208EE">
              <w:rPr>
                <w:color w:val="000000" w:themeColor="text1"/>
                <w:sz w:val="22"/>
              </w:rPr>
              <w:t>- Lưu: VT-LT.</w:t>
            </w:r>
            <w:r w:rsidRPr="00D208EE">
              <w:rPr>
                <w:color w:val="000000" w:themeColor="text1"/>
                <w:sz w:val="22"/>
                <w:vertAlign w:val="subscript"/>
              </w:rPr>
              <w:t>D</w:t>
            </w:r>
          </w:p>
        </w:tc>
        <w:tc>
          <w:tcPr>
            <w:tcW w:w="4934" w:type="dxa"/>
          </w:tcPr>
          <w:p w:rsidR="00B41E44" w:rsidRDefault="00B41E44" w:rsidP="00A0534C">
            <w:pPr>
              <w:pStyle w:val="NormalWeb"/>
              <w:jc w:val="center"/>
              <w:rPr>
                <w:rFonts w:ascii="Times New Roman" w:hAnsi="Times New Roman"/>
                <w:b/>
                <w:color w:val="000000" w:themeColor="text1"/>
                <w:sz w:val="26"/>
                <w:szCs w:val="26"/>
              </w:rPr>
            </w:pPr>
            <w:r w:rsidRPr="00D302DA">
              <w:rPr>
                <w:rFonts w:ascii="Times New Roman" w:hAnsi="Times New Roman"/>
                <w:b/>
                <w:color w:val="000000" w:themeColor="text1"/>
                <w:sz w:val="26"/>
                <w:szCs w:val="26"/>
              </w:rPr>
              <w:t>TM. THƯỜNG TRỰC HĐND</w:t>
            </w:r>
          </w:p>
          <w:p w:rsidR="00B41E44" w:rsidRPr="00D302DA" w:rsidRDefault="00B41E44" w:rsidP="00A0534C">
            <w:pPr>
              <w:pStyle w:val="NormalWeb"/>
              <w:jc w:val="center"/>
              <w:rPr>
                <w:rFonts w:ascii="Times New Roman" w:hAnsi="Times New Roman"/>
                <w:b/>
                <w:bCs/>
                <w:color w:val="000000" w:themeColor="text1"/>
                <w:sz w:val="26"/>
                <w:szCs w:val="26"/>
              </w:rPr>
            </w:pPr>
            <w:r w:rsidRPr="00D302DA">
              <w:rPr>
                <w:rFonts w:ascii="Times New Roman" w:hAnsi="Times New Roman"/>
                <w:b/>
                <w:bCs/>
                <w:color w:val="000000" w:themeColor="text1"/>
                <w:sz w:val="26"/>
                <w:szCs w:val="26"/>
              </w:rPr>
              <w:t>CHỦ TỊCH</w:t>
            </w:r>
          </w:p>
          <w:p w:rsidR="00B41E44" w:rsidRPr="00D302DA" w:rsidRDefault="00B41E44" w:rsidP="00A0534C">
            <w:pPr>
              <w:pStyle w:val="NormalWeb"/>
              <w:jc w:val="center"/>
              <w:rPr>
                <w:rFonts w:ascii="Times New Roman" w:hAnsi="Times New Roman"/>
                <w:b/>
                <w:bCs/>
                <w:color w:val="000000" w:themeColor="text1"/>
                <w:sz w:val="26"/>
                <w:szCs w:val="26"/>
              </w:rPr>
            </w:pPr>
            <w:r w:rsidRPr="00D302DA">
              <w:rPr>
                <w:rFonts w:ascii="Times New Roman" w:hAnsi="Times New Roman"/>
                <w:b/>
                <w:bCs/>
                <w:color w:val="000000" w:themeColor="text1"/>
                <w:sz w:val="26"/>
                <w:szCs w:val="26"/>
              </w:rPr>
              <w:t>(Đã ký)</w:t>
            </w:r>
          </w:p>
          <w:p w:rsidR="00B41E44" w:rsidRPr="00D302DA" w:rsidRDefault="00B41E44" w:rsidP="00A0534C">
            <w:pPr>
              <w:pStyle w:val="NormalWeb"/>
              <w:jc w:val="center"/>
              <w:rPr>
                <w:rFonts w:ascii="Times New Roman" w:hAnsi="Times New Roman"/>
                <w:b/>
                <w:bCs/>
                <w:color w:val="000000" w:themeColor="text1"/>
                <w:sz w:val="26"/>
                <w:szCs w:val="26"/>
              </w:rPr>
            </w:pPr>
          </w:p>
          <w:p w:rsidR="00B41E44" w:rsidRPr="00D302DA" w:rsidRDefault="00B41E44" w:rsidP="00A0534C">
            <w:pPr>
              <w:pStyle w:val="NormalWeb"/>
              <w:jc w:val="center"/>
              <w:rPr>
                <w:rFonts w:ascii="Times New Roman" w:hAnsi="Times New Roman"/>
                <w:color w:val="000000" w:themeColor="text1"/>
                <w:sz w:val="26"/>
                <w:szCs w:val="26"/>
              </w:rPr>
            </w:pPr>
            <w:r w:rsidRPr="00D302DA">
              <w:rPr>
                <w:rFonts w:ascii="Times New Roman" w:hAnsi="Times New Roman"/>
                <w:b/>
                <w:bCs/>
                <w:color w:val="000000" w:themeColor="text1"/>
                <w:sz w:val="26"/>
                <w:szCs w:val="26"/>
              </w:rPr>
              <w:t>Đoàn Văn Minh</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B41E44"/>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11"/>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1E44"/>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1CCB"/>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44"/>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B41E44"/>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E44"/>
    <w:rPr>
      <w:rFonts w:eastAsia="Times New Roman" w:cs="Times New Roman"/>
      <w:i/>
      <w:sz w:val="24"/>
      <w:szCs w:val="24"/>
      <w:lang w:val="vi-VN" w:eastAsia="vi-VN"/>
    </w:rPr>
  </w:style>
  <w:style w:type="paragraph" w:styleId="BodyText">
    <w:name w:val="Body Text"/>
    <w:basedOn w:val="Normal"/>
    <w:link w:val="BodyTextChar"/>
    <w:rsid w:val="00B41E44"/>
    <w:pPr>
      <w:jc w:val="center"/>
    </w:pPr>
    <w:rPr>
      <w:rFonts w:ascii=".VnTimeH" w:hAnsi=".VnTimeH"/>
      <w:b/>
      <w:bCs/>
      <w:color w:val="auto"/>
      <w:szCs w:val="20"/>
    </w:rPr>
  </w:style>
  <w:style w:type="character" w:customStyle="1" w:styleId="BodyTextChar">
    <w:name w:val="Body Text Char"/>
    <w:basedOn w:val="DefaultParagraphFont"/>
    <w:link w:val="BodyText"/>
    <w:rsid w:val="00B41E44"/>
    <w:rPr>
      <w:rFonts w:ascii=".VnTimeH" w:eastAsia="Times New Roman" w:hAnsi=".VnTimeH" w:cs="Times New Roman"/>
      <w:b/>
      <w:bCs/>
      <w:szCs w:val="20"/>
    </w:rPr>
  </w:style>
  <w:style w:type="paragraph" w:styleId="NormalWeb">
    <w:name w:val="Normal (Web)"/>
    <w:aliases w:val="Normal (Web) Char"/>
    <w:basedOn w:val="Normal"/>
    <w:link w:val="NormalWebChar1"/>
    <w:rsid w:val="00B41E44"/>
    <w:rPr>
      <w:rFonts w:ascii="Verdana" w:hAnsi="Verdana"/>
      <w:color w:val="000000"/>
      <w:sz w:val="16"/>
      <w:szCs w:val="16"/>
    </w:rPr>
  </w:style>
  <w:style w:type="table" w:styleId="TableGrid">
    <w:name w:val="Table Grid"/>
    <w:basedOn w:val="TableNormal"/>
    <w:rsid w:val="00B41E4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B41E44"/>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10006</Characters>
  <Application>Microsoft Office Word</Application>
  <DocSecurity>0</DocSecurity>
  <Lines>83</Lines>
  <Paragraphs>23</Paragraphs>
  <ScaleCrop>false</ScaleCrop>
  <Company>Sky123.Org</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2018-05-10T12:15:00Z</dcterms:created>
  <dcterms:modified xsi:type="dcterms:W3CDTF">2018-05-10T12:16:00Z</dcterms:modified>
</cp:coreProperties>
</file>