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000"/>
      </w:tblPr>
      <w:tblGrid>
        <w:gridCol w:w="3430"/>
        <w:gridCol w:w="6351"/>
      </w:tblGrid>
      <w:tr w:rsidR="00205A52" w:rsidRPr="000D2B40" w:rsidTr="00A0367B">
        <w:trPr>
          <w:trHeight w:val="859"/>
        </w:trPr>
        <w:tc>
          <w:tcPr>
            <w:tcW w:w="3430" w:type="dxa"/>
          </w:tcPr>
          <w:p w:rsidR="00205A52" w:rsidRPr="000D2B40" w:rsidRDefault="00205A52" w:rsidP="00A0367B">
            <w:pPr>
              <w:jc w:val="center"/>
              <w:rPr>
                <w:b/>
                <w:bCs/>
                <w:color w:val="auto"/>
                <w:sz w:val="26"/>
              </w:rPr>
            </w:pPr>
            <w:r w:rsidRPr="000D2B40">
              <w:rPr>
                <w:b/>
                <w:bCs/>
                <w:color w:val="auto"/>
                <w:sz w:val="26"/>
              </w:rPr>
              <w:t>HỘI ĐỒNG NHÂN DÂN</w:t>
            </w:r>
          </w:p>
          <w:p w:rsidR="00205A52" w:rsidRPr="000D2B40" w:rsidRDefault="00205A52" w:rsidP="00A0367B">
            <w:pPr>
              <w:jc w:val="center"/>
              <w:rPr>
                <w:b/>
                <w:bCs/>
                <w:color w:val="auto"/>
                <w:sz w:val="26"/>
              </w:rPr>
            </w:pPr>
            <w:r w:rsidRPr="000D2B40">
              <w:rPr>
                <w:b/>
                <w:bCs/>
                <w:color w:val="auto"/>
                <w:sz w:val="26"/>
              </w:rPr>
              <w:t>HUYỆN SA THẦY</w:t>
            </w:r>
          </w:p>
          <w:p w:rsidR="00205A52" w:rsidRPr="000D2B40" w:rsidRDefault="00205A52" w:rsidP="00A0367B">
            <w:pPr>
              <w:spacing w:line="120" w:lineRule="auto"/>
              <w:jc w:val="center"/>
              <w:rPr>
                <w:b/>
                <w:bCs/>
                <w:color w:val="auto"/>
                <w:sz w:val="26"/>
              </w:rPr>
            </w:pPr>
            <w:r>
              <w:rPr>
                <w:b/>
                <w:bCs/>
                <w:noProof/>
                <w:color w:val="auto"/>
                <w:sz w:val="26"/>
              </w:rPr>
              <w:pict>
                <v:shapetype id="_x0000_t32" coordsize="21600,21600" o:spt="32" o:oned="t" path="m,l21600,21600e" filled="f">
                  <v:path arrowok="t" fillok="f" o:connecttype="none"/>
                  <o:lock v:ext="edit" shapetype="t"/>
                </v:shapetype>
                <v:shape id="_x0000_s1026" type="#_x0000_t32" style="position:absolute;left:0;text-align:left;margin-left:59.55pt;margin-top:2.4pt;width:22pt;height:0;z-index:251660288" o:connectortype="straight"/>
              </w:pict>
            </w:r>
            <w:r w:rsidRPr="000D2B40">
              <w:rPr>
                <w:b/>
                <w:bCs/>
                <w:color w:val="auto"/>
                <w:sz w:val="26"/>
              </w:rPr>
              <w:softHyphen/>
            </w:r>
            <w:r w:rsidRPr="000D2B40">
              <w:rPr>
                <w:b/>
                <w:bCs/>
                <w:color w:val="auto"/>
                <w:sz w:val="26"/>
              </w:rPr>
              <w:softHyphen/>
            </w:r>
            <w:r w:rsidRPr="000D2B40">
              <w:rPr>
                <w:b/>
                <w:bCs/>
                <w:color w:val="auto"/>
                <w:sz w:val="26"/>
              </w:rPr>
              <w:softHyphen/>
            </w:r>
          </w:p>
        </w:tc>
        <w:tc>
          <w:tcPr>
            <w:tcW w:w="6351" w:type="dxa"/>
          </w:tcPr>
          <w:p w:rsidR="00205A52" w:rsidRPr="000D2B40" w:rsidRDefault="00205A52" w:rsidP="00A0367B">
            <w:pPr>
              <w:jc w:val="center"/>
              <w:rPr>
                <w:b/>
                <w:bCs/>
                <w:color w:val="auto"/>
                <w:sz w:val="26"/>
              </w:rPr>
            </w:pPr>
            <w:r w:rsidRPr="000D2B40">
              <w:rPr>
                <w:b/>
                <w:bCs/>
                <w:color w:val="auto"/>
                <w:sz w:val="26"/>
              </w:rPr>
              <w:t>CỘNG HOÀ XÃ HỘI CHỦ NGHĨA VIỆT NAM</w:t>
            </w:r>
          </w:p>
          <w:p w:rsidR="00205A52" w:rsidRPr="000D2B40" w:rsidRDefault="00205A52" w:rsidP="00A0367B">
            <w:pPr>
              <w:pStyle w:val="Heading2"/>
              <w:rPr>
                <w:b/>
                <w:i w:val="0"/>
                <w:sz w:val="28"/>
                <w:szCs w:val="28"/>
              </w:rPr>
            </w:pPr>
            <w:r w:rsidRPr="000D2B40">
              <w:rPr>
                <w:b/>
                <w:i w:val="0"/>
                <w:sz w:val="28"/>
                <w:szCs w:val="28"/>
              </w:rPr>
              <w:t>Độc lập -  Tự do  -  Hạnh phúc</w:t>
            </w:r>
          </w:p>
          <w:p w:rsidR="00205A52" w:rsidRPr="000D2B40" w:rsidRDefault="00205A52" w:rsidP="00A0367B">
            <w:pPr>
              <w:spacing w:line="120" w:lineRule="auto"/>
              <w:jc w:val="center"/>
              <w:rPr>
                <w:color w:val="auto"/>
              </w:rPr>
            </w:pPr>
            <w:r>
              <w:rPr>
                <w:noProof/>
                <w:color w:val="auto"/>
              </w:rPr>
              <w:pict>
                <v:shape id="_x0000_s1027" type="#_x0000_t32" style="position:absolute;left:0;text-align:left;margin-left:58.45pt;margin-top:2.4pt;width:168pt;height:0;z-index:251661312" o:connectortype="straight"/>
              </w:pict>
            </w:r>
          </w:p>
        </w:tc>
      </w:tr>
      <w:tr w:rsidR="00205A52" w:rsidRPr="000D2B40" w:rsidTr="00A0367B">
        <w:trPr>
          <w:trHeight w:val="645"/>
        </w:trPr>
        <w:tc>
          <w:tcPr>
            <w:tcW w:w="3430" w:type="dxa"/>
          </w:tcPr>
          <w:p w:rsidR="00205A52" w:rsidRPr="000D2B40" w:rsidRDefault="00205A52" w:rsidP="00A0367B">
            <w:pPr>
              <w:spacing w:before="240"/>
              <w:jc w:val="center"/>
              <w:rPr>
                <w:color w:val="auto"/>
              </w:rPr>
            </w:pPr>
            <w:r w:rsidRPr="000D2B40">
              <w:rPr>
                <w:color w:val="auto"/>
              </w:rPr>
              <w:t>Số: 32 /BC-HĐND</w:t>
            </w:r>
          </w:p>
        </w:tc>
        <w:tc>
          <w:tcPr>
            <w:tcW w:w="6351" w:type="dxa"/>
          </w:tcPr>
          <w:p w:rsidR="00205A52" w:rsidRPr="000D2B40" w:rsidRDefault="00205A52" w:rsidP="00A0367B">
            <w:pPr>
              <w:spacing w:before="240"/>
              <w:jc w:val="center"/>
              <w:rPr>
                <w:i/>
                <w:color w:val="auto"/>
              </w:rPr>
            </w:pPr>
            <w:r w:rsidRPr="000D2B40">
              <w:rPr>
                <w:i/>
                <w:color w:val="auto"/>
              </w:rPr>
              <w:t>Sa Thầy, ngày 18 tháng 7 năm 2017</w:t>
            </w:r>
          </w:p>
        </w:tc>
      </w:tr>
    </w:tbl>
    <w:p w:rsidR="00205A52" w:rsidRPr="000D2B40" w:rsidRDefault="00205A52" w:rsidP="00205A52">
      <w:pPr>
        <w:rPr>
          <w:color w:val="auto"/>
        </w:rPr>
      </w:pPr>
      <w:r w:rsidRPr="000D2B40">
        <w:rPr>
          <w:color w:val="auto"/>
        </w:rPr>
        <w:t xml:space="preserve"> </w:t>
      </w:r>
    </w:p>
    <w:p w:rsidR="00205A52" w:rsidRPr="000D2B40" w:rsidRDefault="00205A52" w:rsidP="00205A52">
      <w:pPr>
        <w:jc w:val="center"/>
        <w:rPr>
          <w:b/>
          <w:color w:val="auto"/>
        </w:rPr>
      </w:pPr>
      <w:r w:rsidRPr="000D2B40">
        <w:rPr>
          <w:b/>
          <w:color w:val="auto"/>
        </w:rPr>
        <w:t>BÁO CÁO</w:t>
      </w:r>
    </w:p>
    <w:p w:rsidR="00205A52" w:rsidRPr="000D2B40" w:rsidRDefault="00205A52" w:rsidP="00205A52">
      <w:pPr>
        <w:ind w:firstLine="720"/>
        <w:jc w:val="center"/>
        <w:rPr>
          <w:rFonts w:eastAsia="Batang"/>
          <w:b/>
          <w:color w:val="auto"/>
          <w:lang w:eastAsia="fr-FR"/>
        </w:rPr>
      </w:pPr>
      <w:r w:rsidRPr="000D2B40">
        <w:rPr>
          <w:rFonts w:eastAsia="Batang"/>
          <w:b/>
          <w:color w:val="auto"/>
          <w:lang w:eastAsia="fr-FR"/>
        </w:rPr>
        <w:t>Kết quả thực hiện Chương trình giám sát 6 tháng cuối năm 2016</w:t>
      </w:r>
    </w:p>
    <w:p w:rsidR="00205A52" w:rsidRPr="000D2B40" w:rsidRDefault="00205A52" w:rsidP="00205A52">
      <w:pPr>
        <w:ind w:firstLine="720"/>
        <w:jc w:val="center"/>
        <w:rPr>
          <w:rFonts w:eastAsia="Batang"/>
          <w:i/>
          <w:color w:val="auto"/>
          <w:lang w:eastAsia="fr-FR"/>
        </w:rPr>
      </w:pPr>
      <w:r w:rsidRPr="000D2B40">
        <w:rPr>
          <w:rFonts w:eastAsia="Batang"/>
          <w:b/>
          <w:color w:val="auto"/>
          <w:lang w:eastAsia="fr-FR"/>
        </w:rPr>
        <w:t>của HĐND huyện khóa X, nhiệm kỳ 2016-2021</w:t>
      </w:r>
    </w:p>
    <w:p w:rsidR="00205A52" w:rsidRPr="000D2B40" w:rsidRDefault="00205A52" w:rsidP="00205A52">
      <w:pPr>
        <w:spacing w:before="120" w:after="120"/>
        <w:ind w:firstLine="720"/>
        <w:jc w:val="both"/>
        <w:rPr>
          <w:rFonts w:eastAsia="Batang"/>
          <w:color w:val="auto"/>
          <w:lang w:eastAsia="fr-FR"/>
        </w:rPr>
      </w:pPr>
      <w:r w:rsidRPr="00354FF8">
        <w:rPr>
          <w:b/>
          <w:noProof/>
          <w:color w:val="auto"/>
        </w:rPr>
        <w:pict>
          <v:shape id="_x0000_s1028" type="#_x0000_t32" style="position:absolute;left:0;text-align:left;margin-left:217.25pt;margin-top:2.8pt;width:33pt;height:0;z-index:251662336" o:connectortype="straight"/>
        </w:pict>
      </w:r>
    </w:p>
    <w:p w:rsidR="00205A52" w:rsidRPr="000D2B40" w:rsidRDefault="00205A52" w:rsidP="00205A52">
      <w:pPr>
        <w:spacing w:before="120" w:after="120"/>
        <w:ind w:firstLine="720"/>
        <w:jc w:val="both"/>
        <w:rPr>
          <w:color w:val="auto"/>
        </w:rPr>
      </w:pPr>
      <w:r w:rsidRPr="000D2B40">
        <w:rPr>
          <w:color w:val="auto"/>
        </w:rPr>
        <w:t>Căn cứ các quy định của Luật Tổ chức chính quyền địa phương ngày 19/6/2015; Luật Hoạt động giám sát của Quốc hội và HĐND ngày 20/11/2015;</w:t>
      </w:r>
    </w:p>
    <w:p w:rsidR="00205A52" w:rsidRPr="000D2B40" w:rsidRDefault="00205A52" w:rsidP="00205A52">
      <w:pPr>
        <w:spacing w:before="120" w:after="120"/>
        <w:ind w:firstLine="720"/>
        <w:jc w:val="both"/>
        <w:rPr>
          <w:color w:val="auto"/>
        </w:rPr>
      </w:pPr>
      <w:r w:rsidRPr="000D2B40">
        <w:rPr>
          <w:color w:val="auto"/>
        </w:rPr>
        <w:t>Căn cứ Nghị quyết số 38/NQ-HĐND ngày 19/8/2016 của HĐND huyện về việc thông qua Chương trình giám sát 6 tháng cuối năm 2016 và năm 2017 của HĐND khóa X, nhiệm kỳ 2016-2021,</w:t>
      </w:r>
    </w:p>
    <w:p w:rsidR="00205A52" w:rsidRPr="000D2B40" w:rsidRDefault="00205A52" w:rsidP="00205A52">
      <w:pPr>
        <w:spacing w:before="120" w:after="120"/>
        <w:ind w:firstLine="720"/>
        <w:jc w:val="both"/>
        <w:rPr>
          <w:color w:val="auto"/>
        </w:rPr>
      </w:pPr>
      <w:r w:rsidRPr="000D2B40">
        <w:rPr>
          <w:color w:val="auto"/>
        </w:rPr>
        <w:t>Thường trực HĐND huyện báo cáo kết quả thực hiện Chương trình giám sát 6 tháng cuối năm 2016 của HĐND huyện như sau:</w:t>
      </w:r>
    </w:p>
    <w:p w:rsidR="00205A52" w:rsidRPr="000D2B40" w:rsidRDefault="00205A52" w:rsidP="00205A52">
      <w:pPr>
        <w:spacing w:before="120" w:after="120"/>
        <w:ind w:firstLine="720"/>
        <w:jc w:val="both"/>
        <w:rPr>
          <w:b/>
          <w:color w:val="auto"/>
        </w:rPr>
      </w:pPr>
      <w:r w:rsidRPr="000D2B40">
        <w:rPr>
          <w:b/>
          <w:color w:val="auto"/>
        </w:rPr>
        <w:t>A. Kết quả đạt được</w:t>
      </w:r>
    </w:p>
    <w:p w:rsidR="00205A52" w:rsidRPr="000D2B40" w:rsidRDefault="00205A52" w:rsidP="00205A52">
      <w:pPr>
        <w:spacing w:before="120" w:after="120"/>
        <w:ind w:firstLine="720"/>
        <w:jc w:val="both"/>
        <w:rPr>
          <w:b/>
          <w:color w:val="auto"/>
        </w:rPr>
      </w:pPr>
      <w:r w:rsidRPr="000D2B40">
        <w:rPr>
          <w:b/>
          <w:color w:val="auto"/>
        </w:rPr>
        <w:t>I. Giám sát tại kỳ họp</w:t>
      </w:r>
    </w:p>
    <w:p w:rsidR="00205A52" w:rsidRPr="000D2B40" w:rsidRDefault="00205A52" w:rsidP="00205A52">
      <w:pPr>
        <w:spacing w:before="120" w:after="120"/>
        <w:ind w:firstLine="709"/>
        <w:jc w:val="both"/>
        <w:rPr>
          <w:b/>
          <w:color w:val="auto"/>
        </w:rPr>
      </w:pPr>
      <w:r w:rsidRPr="000D2B40">
        <w:rPr>
          <w:b/>
          <w:color w:val="auto"/>
        </w:rPr>
        <w:t>1. Xem xét các báo cáo tại kỳ họp</w:t>
      </w:r>
    </w:p>
    <w:p w:rsidR="00205A52" w:rsidRPr="000D2B40" w:rsidRDefault="00205A52" w:rsidP="00205A52">
      <w:pPr>
        <w:spacing w:before="120" w:after="120"/>
        <w:ind w:firstLine="709"/>
        <w:jc w:val="both"/>
        <w:rPr>
          <w:color w:val="auto"/>
        </w:rPr>
      </w:pPr>
      <w:r w:rsidRPr="000D2B40">
        <w:rPr>
          <w:color w:val="auto"/>
        </w:rPr>
        <w:t>Tại kỳ họp thứ 2 và kỳ họp thứ 3 HĐND huyện khóa X, HĐND huyện đã tiến hành xem xét báo cáo công tác 6 tháng và 1 năm của Thường trực HĐND, các Ban của HĐND, UBND và các ngành: Tòa án nhân dân, Viện Kiểm sát nhân dân, Chi cục Thi hành án dân sự.</w:t>
      </w:r>
    </w:p>
    <w:p w:rsidR="00205A52" w:rsidRPr="000D2B40" w:rsidRDefault="00205A52" w:rsidP="00205A52">
      <w:pPr>
        <w:spacing w:before="120" w:after="120"/>
        <w:ind w:firstLine="709"/>
        <w:jc w:val="both"/>
        <w:rPr>
          <w:color w:val="auto"/>
        </w:rPr>
      </w:pPr>
      <w:r w:rsidRPr="000D2B40">
        <w:rPr>
          <w:color w:val="auto"/>
        </w:rPr>
        <w:t>Ngoài ra, HĐND huyện còn xem xét các báo cáo khác của UBND huyện theo luật định</w:t>
      </w:r>
      <w:r w:rsidRPr="000D2B40">
        <w:rPr>
          <w:color w:val="auto"/>
          <w:vertAlign w:val="superscript"/>
        </w:rPr>
        <w:t>(</w:t>
      </w:r>
      <w:r w:rsidRPr="000D2B40">
        <w:rPr>
          <w:rStyle w:val="FootnoteReference"/>
          <w:color w:val="auto"/>
        </w:rPr>
        <w:footnoteReference w:id="2"/>
      </w:r>
      <w:r w:rsidRPr="000D2B40">
        <w:rPr>
          <w:color w:val="auto"/>
          <w:vertAlign w:val="superscript"/>
        </w:rPr>
        <w:t>)</w:t>
      </w:r>
      <w:r w:rsidRPr="000D2B40">
        <w:rPr>
          <w:color w:val="auto"/>
        </w:rPr>
        <w:t>.</w:t>
      </w:r>
    </w:p>
    <w:p w:rsidR="00205A52" w:rsidRPr="000D2B40" w:rsidRDefault="00205A52" w:rsidP="00205A52">
      <w:pPr>
        <w:spacing w:before="120" w:after="120"/>
        <w:ind w:firstLine="709"/>
        <w:jc w:val="both"/>
        <w:rPr>
          <w:color w:val="auto"/>
        </w:rPr>
      </w:pPr>
      <w:r w:rsidRPr="000D2B40">
        <w:rPr>
          <w:color w:val="auto"/>
        </w:rPr>
        <w:lastRenderedPageBreak/>
        <w:t>Hoạt động giám sát tại kỳ họp của HĐND huyện được thực hiện nghiêm túc, dân chủ, thẳng thắn, đảm bảo theo quy định. Trước kỳ họp, các báo cáo được gửi đến đại biểu để nghiên cứu, thảo luận; phân công các Ban của HĐND thẩm tra. Trên cơ sở đó, HĐND đã đánh giá tình hình thực hiện các nhiệm vụ của các cơ quan, đơn vị và đề ra các nhiệm vụ, giải pháp để các cơ quan, đơn vị thực hiện tốt chức năng, nhiệm vụ, quyền hạn được pháp luật quy định.</w:t>
      </w:r>
    </w:p>
    <w:p w:rsidR="00205A52" w:rsidRPr="000D2B40" w:rsidRDefault="00205A52" w:rsidP="00205A52">
      <w:pPr>
        <w:spacing w:before="120" w:after="120"/>
        <w:ind w:firstLine="709"/>
        <w:jc w:val="both"/>
        <w:rPr>
          <w:b/>
          <w:color w:val="auto"/>
        </w:rPr>
      </w:pPr>
      <w:r w:rsidRPr="000D2B40">
        <w:rPr>
          <w:b/>
          <w:color w:val="auto"/>
        </w:rPr>
        <w:t xml:space="preserve">2. Xem xét việc trả lời chất vấn </w:t>
      </w:r>
    </w:p>
    <w:p w:rsidR="00205A52" w:rsidRPr="000D2B40" w:rsidRDefault="00205A52" w:rsidP="00205A52">
      <w:pPr>
        <w:spacing w:before="120" w:after="120"/>
        <w:ind w:firstLine="709"/>
        <w:jc w:val="both"/>
        <w:rPr>
          <w:color w:val="auto"/>
        </w:rPr>
      </w:pPr>
      <w:r w:rsidRPr="000D2B40">
        <w:rPr>
          <w:color w:val="auto"/>
        </w:rPr>
        <w:t>Tại kỳ họp thứ 2 và thứ 3 HĐND huyện khóa X, đại biểu không thực hiện việc chất vấn đối với của Chủ tịch UBND, thành viên khác của UBND, Chánh án Tòa án nhân dân, Viện trưởng Viện kiểm sát nhân dân, Thủ trưởng cơ quan thuộc UBND huyện.</w:t>
      </w:r>
    </w:p>
    <w:p w:rsidR="00205A52" w:rsidRPr="000D2B40" w:rsidRDefault="00205A52" w:rsidP="00205A52">
      <w:pPr>
        <w:shd w:val="clear" w:color="auto" w:fill="FFFFFF"/>
        <w:spacing w:before="120" w:after="120"/>
        <w:ind w:firstLine="709"/>
        <w:jc w:val="both"/>
        <w:rPr>
          <w:b/>
          <w:color w:val="auto"/>
        </w:rPr>
      </w:pPr>
      <w:r w:rsidRPr="000D2B40">
        <w:rPr>
          <w:b/>
          <w:color w:val="auto"/>
        </w:rPr>
        <w:t>3. Xem xét văn bản quy phạm pháp luật có dấu hiệu trái với Hiến pháp, luật, văn bản quy phạm pháp luật của cơ quan nhà nước cấp trên, Nghị quyết của HĐND huyện</w:t>
      </w:r>
    </w:p>
    <w:p w:rsidR="00205A52" w:rsidRPr="000D2B40" w:rsidRDefault="00205A52" w:rsidP="00205A52">
      <w:pPr>
        <w:shd w:val="clear" w:color="auto" w:fill="FFFFFF"/>
        <w:spacing w:before="120" w:after="120"/>
        <w:ind w:firstLine="709"/>
        <w:jc w:val="both"/>
        <w:rPr>
          <w:color w:val="auto"/>
        </w:rPr>
      </w:pPr>
      <w:r w:rsidRPr="000D2B40">
        <w:rPr>
          <w:color w:val="auto"/>
        </w:rPr>
        <w:t>Qua rà soát của cơ quan chuyên môn và giám sát của Thường trực HĐND, chưa phát hiện Quyết định của UBND huyện, Nghị quyết của HĐND các xã, thị trấn có dấu hiệu trái với Hiến pháp, luật, văn bản quy phạm pháp luật của cơ quan nhà nước cấp trên và Nghị quyết của HĐND huyện.</w:t>
      </w:r>
    </w:p>
    <w:p w:rsidR="00205A52" w:rsidRPr="000D2B40" w:rsidRDefault="00205A52" w:rsidP="00205A52">
      <w:pPr>
        <w:shd w:val="clear" w:color="auto" w:fill="FFFFFF"/>
        <w:spacing w:before="120" w:after="120"/>
        <w:ind w:firstLine="709"/>
        <w:jc w:val="both"/>
        <w:rPr>
          <w:color w:val="auto"/>
        </w:rPr>
      </w:pPr>
      <w:r w:rsidRPr="000D2B40">
        <w:rPr>
          <w:b/>
          <w:color w:val="auto"/>
        </w:rPr>
        <w:t>4. Bỏ phiếu tín nhiệm đối với người giữ chức vụ do HĐND bầu</w:t>
      </w:r>
      <w:r w:rsidRPr="000D2B40">
        <w:rPr>
          <w:color w:val="auto"/>
        </w:rPr>
        <w:t xml:space="preserve"> </w:t>
      </w:r>
    </w:p>
    <w:p w:rsidR="00205A52" w:rsidRPr="000D2B40" w:rsidRDefault="00205A52" w:rsidP="00205A52">
      <w:pPr>
        <w:shd w:val="clear" w:color="auto" w:fill="FFFFFF"/>
        <w:spacing w:before="120" w:after="120"/>
        <w:ind w:firstLine="709"/>
        <w:jc w:val="both"/>
        <w:rPr>
          <w:color w:val="auto"/>
        </w:rPr>
      </w:pPr>
      <w:r w:rsidRPr="000D2B40">
        <w:rPr>
          <w:color w:val="auto"/>
        </w:rPr>
        <w:t>Tại kỳ họp 2 và kỳ họp 3, HĐND huyện không tiến hành bỏ phiếu tín nhiệm đối với người giữ chức vụ do HĐND bầu.</w:t>
      </w:r>
    </w:p>
    <w:p w:rsidR="00205A52" w:rsidRPr="000D2B40" w:rsidRDefault="00205A52" w:rsidP="00205A52">
      <w:pPr>
        <w:shd w:val="clear" w:color="auto" w:fill="FFFFFF"/>
        <w:spacing w:before="120" w:after="120"/>
        <w:ind w:firstLine="709"/>
        <w:jc w:val="both"/>
        <w:rPr>
          <w:b/>
          <w:color w:val="auto"/>
        </w:rPr>
      </w:pPr>
      <w:r w:rsidRPr="000D2B40">
        <w:rPr>
          <w:b/>
          <w:color w:val="auto"/>
        </w:rPr>
        <w:t>II.</w:t>
      </w:r>
      <w:r w:rsidRPr="000D2B40">
        <w:rPr>
          <w:color w:val="auto"/>
        </w:rPr>
        <w:t xml:space="preserve"> </w:t>
      </w:r>
      <w:r w:rsidRPr="000D2B40">
        <w:rPr>
          <w:b/>
          <w:color w:val="auto"/>
        </w:rPr>
        <w:t>Giám sát chuyên đề</w:t>
      </w:r>
    </w:p>
    <w:p w:rsidR="00205A52" w:rsidRPr="000D2B40" w:rsidRDefault="00205A52" w:rsidP="00205A52">
      <w:pPr>
        <w:shd w:val="clear" w:color="auto" w:fill="FFFFFF"/>
        <w:spacing w:before="120" w:after="120"/>
        <w:ind w:firstLine="709"/>
        <w:jc w:val="both"/>
        <w:rPr>
          <w:color w:val="auto"/>
        </w:rPr>
      </w:pPr>
      <w:r w:rsidRPr="000D2B40">
        <w:rPr>
          <w:color w:val="auto"/>
        </w:rPr>
        <w:t>Trong 6 tháng cuối năm 2016, Đoàn giám sát của HĐND huyện đã tiến hành giám sát chuyên đề: công tác xử phạt vi phạm hành chính trong lĩnh vực quản lý, bảo vệ rừng; lĩnh vực đất đai và lĩnh vực xây dựng.</w:t>
      </w:r>
    </w:p>
    <w:p w:rsidR="00205A52" w:rsidRPr="000D2B40" w:rsidRDefault="00205A52" w:rsidP="00205A52">
      <w:pPr>
        <w:pStyle w:val="BodyText"/>
        <w:spacing w:before="120"/>
        <w:ind w:firstLine="709"/>
        <w:jc w:val="both"/>
        <w:rPr>
          <w:rFonts w:ascii="Times New Roman" w:hAnsi="Times New Roman"/>
          <w:b w:val="0"/>
        </w:rPr>
      </w:pPr>
      <w:r w:rsidRPr="000D2B40">
        <w:rPr>
          <w:rFonts w:ascii="Times New Roman" w:hAnsi="Times New Roman"/>
          <w:b w:val="0"/>
          <w:lang w:val="nl-NL"/>
        </w:rPr>
        <w:t xml:space="preserve">Việc tổ chức hoạt động giám sát được thực hiện theo đúng quy trình, quy định trong lập kế hoạch, thành lập Đoàn, xác định đối tượng, xây dựng đề cương, thu thập thông tin, chuẩn bị các nội dung liên quan; kết hợp chặt chẽ giữa việc giám sát trực tiếp với việc giám sát gián tiếp thông qua báo cáo của các đơn vị chịu sự giám sát. </w:t>
      </w:r>
      <w:r w:rsidRPr="000D2B40">
        <w:rPr>
          <w:rFonts w:ascii="Times New Roman" w:hAnsi="Times New Roman"/>
          <w:b w:val="0"/>
        </w:rPr>
        <w:t xml:space="preserve">Qua giám sát, Đoàn giám sát đã đánh giá, làm rõ những kết quả đạt được cũng như những tồn tại, vướng mắc trong quá trình tổ chức thực hiện nhiệm vụ tại các xã, thị trấn và các cơ quan, đơn vị. Đồng thời kiến nghị UBND huyện và ngành chức năng giải quyết. </w:t>
      </w:r>
    </w:p>
    <w:p w:rsidR="00205A52" w:rsidRPr="000D2B40" w:rsidRDefault="00205A52" w:rsidP="00205A52">
      <w:pPr>
        <w:spacing w:before="120" w:after="120"/>
        <w:ind w:firstLine="697"/>
        <w:jc w:val="both"/>
        <w:rPr>
          <w:color w:val="auto"/>
        </w:rPr>
      </w:pPr>
      <w:r w:rsidRPr="000D2B40">
        <w:rPr>
          <w:color w:val="auto"/>
        </w:rPr>
        <w:t>Từ kết quả giám sát chuyên đề, HĐND huyện đã ban hành Nghị quyết về kết quả giám sát chuyên đề “Công tác xử phạt vi phạm hành chính trong lĩnh vực quản lý, bảo vệ rừng; lĩnh vực đất đai và lĩnh vực xây dựng trên địa bàn huyện”</w:t>
      </w:r>
      <w:r w:rsidRPr="000D2B40">
        <w:rPr>
          <w:i/>
          <w:color w:val="auto"/>
        </w:rPr>
        <w:t>.</w:t>
      </w:r>
    </w:p>
    <w:p w:rsidR="00205A52" w:rsidRPr="000D2B40" w:rsidRDefault="00205A52" w:rsidP="00205A52">
      <w:pPr>
        <w:shd w:val="clear" w:color="auto" w:fill="FFFFFF"/>
        <w:spacing w:before="120" w:after="120"/>
        <w:ind w:firstLine="709"/>
        <w:jc w:val="both"/>
        <w:rPr>
          <w:b/>
          <w:color w:val="auto"/>
        </w:rPr>
      </w:pPr>
      <w:r w:rsidRPr="000D2B40">
        <w:rPr>
          <w:b/>
          <w:color w:val="auto"/>
        </w:rPr>
        <w:t>B. Đánh giá</w:t>
      </w:r>
    </w:p>
    <w:p w:rsidR="00205A52" w:rsidRPr="000D2B40" w:rsidRDefault="00205A52" w:rsidP="00205A52">
      <w:pPr>
        <w:shd w:val="clear" w:color="auto" w:fill="FFFFFF"/>
        <w:spacing w:before="120" w:after="120"/>
        <w:ind w:firstLine="709"/>
        <w:jc w:val="both"/>
        <w:rPr>
          <w:b/>
          <w:color w:val="auto"/>
        </w:rPr>
      </w:pPr>
      <w:r w:rsidRPr="000D2B40">
        <w:rPr>
          <w:b/>
          <w:color w:val="auto"/>
        </w:rPr>
        <w:t>I. Ưu điểm</w:t>
      </w:r>
    </w:p>
    <w:p w:rsidR="00205A52" w:rsidRPr="000D2B40" w:rsidRDefault="00205A52" w:rsidP="00205A52">
      <w:pPr>
        <w:shd w:val="clear" w:color="auto" w:fill="FFFFFF"/>
        <w:spacing w:before="120" w:after="120"/>
        <w:ind w:firstLine="709"/>
        <w:jc w:val="both"/>
        <w:rPr>
          <w:color w:val="auto"/>
        </w:rPr>
      </w:pPr>
      <w:r w:rsidRPr="000D2B40">
        <w:rPr>
          <w:color w:val="auto"/>
        </w:rPr>
        <w:t>Hoạt động giám sát của HĐND đã bám sát chương trình, kế hoạch đề ra, góp phần nâng cao chất lượng, hiệu quả hoạt động của HĐND.</w:t>
      </w:r>
    </w:p>
    <w:p w:rsidR="00205A52" w:rsidRPr="000D2B40" w:rsidRDefault="00205A52" w:rsidP="00205A52">
      <w:pPr>
        <w:shd w:val="clear" w:color="auto" w:fill="FFFFFF"/>
        <w:spacing w:before="120" w:after="120"/>
        <w:ind w:firstLine="709"/>
        <w:jc w:val="both"/>
        <w:rPr>
          <w:color w:val="auto"/>
        </w:rPr>
      </w:pPr>
      <w:r w:rsidRPr="000D2B40">
        <w:rPr>
          <w:color w:val="auto"/>
        </w:rPr>
        <w:lastRenderedPageBreak/>
        <w:t>Thường trực HĐND đã tích cực tổ chức thực hiện và hoàn thành chương trình giám sát của HĐND; quan tâm chỉ đạo, điều hòa, phối hợp hoạt động của các Ban HĐND.</w:t>
      </w:r>
    </w:p>
    <w:p w:rsidR="00205A52" w:rsidRPr="000D2B40" w:rsidRDefault="00205A52" w:rsidP="00205A52">
      <w:pPr>
        <w:shd w:val="clear" w:color="auto" w:fill="FFFFFF"/>
        <w:spacing w:before="120" w:after="120"/>
        <w:ind w:firstLine="709"/>
        <w:jc w:val="both"/>
        <w:rPr>
          <w:color w:val="auto"/>
        </w:rPr>
      </w:pPr>
      <w:r w:rsidRPr="000D2B40">
        <w:rPr>
          <w:color w:val="auto"/>
        </w:rPr>
        <w:t>Giám sát thông qua việc xem xét báo cáo, giám sát chuyên đề được thực hiện nghiêm túc, đúng trình tự, thủ tục quy định của pháp luật. Sau hoạt động giám sát chuyên đề, UBND huyện, UBND các xã, thị trấn và các ngành đã nghiêm túc tiếp thu, chỉ đạo khắc phục, sửa chữa những tồn tại, hạn chế.</w:t>
      </w:r>
    </w:p>
    <w:p w:rsidR="00205A52" w:rsidRPr="000D2B40" w:rsidRDefault="00205A52" w:rsidP="00205A52">
      <w:pPr>
        <w:shd w:val="clear" w:color="auto" w:fill="FFFFFF"/>
        <w:spacing w:before="120" w:after="120"/>
        <w:ind w:firstLine="709"/>
        <w:jc w:val="both"/>
        <w:rPr>
          <w:color w:val="auto"/>
        </w:rPr>
      </w:pPr>
      <w:r w:rsidRPr="000D2B40">
        <w:rPr>
          <w:color w:val="auto"/>
        </w:rPr>
        <w:t>Công tác phối hợp trong hoạt động giám sát giữa Thường trực HĐND, các Ban của HĐND, Ủy ban MTTQVN và các ngành hữu quan được thực hiện tốt hơn.</w:t>
      </w:r>
    </w:p>
    <w:p w:rsidR="00205A52" w:rsidRPr="000D2B40" w:rsidRDefault="00205A52" w:rsidP="00205A52">
      <w:pPr>
        <w:shd w:val="clear" w:color="auto" w:fill="FFFFFF"/>
        <w:spacing w:before="120" w:after="120"/>
        <w:ind w:firstLine="709"/>
        <w:jc w:val="both"/>
        <w:rPr>
          <w:color w:val="auto"/>
        </w:rPr>
      </w:pPr>
      <w:r w:rsidRPr="000D2B40">
        <w:rPr>
          <w:color w:val="auto"/>
        </w:rPr>
        <w:t>Công tác tham mưu, giúp việc trong xây dựng chương trình, kế hoạch, tổ chức thực hiện, tổng hợp báo cáo kết quả giám sát dần đi vào nề nếp.</w:t>
      </w:r>
    </w:p>
    <w:p w:rsidR="00205A52" w:rsidRPr="000D2B40" w:rsidRDefault="00205A52" w:rsidP="00205A52">
      <w:pPr>
        <w:shd w:val="clear" w:color="auto" w:fill="FFFFFF"/>
        <w:spacing w:before="120" w:after="120"/>
        <w:ind w:firstLine="709"/>
        <w:jc w:val="both"/>
        <w:rPr>
          <w:color w:val="auto"/>
        </w:rPr>
      </w:pPr>
      <w:r w:rsidRPr="000D2B40">
        <w:rPr>
          <w:color w:val="auto"/>
        </w:rPr>
        <w:t>Đại biểu HĐND huyện đã chủ động, tích cực tham gia hoạt động giám sát cùng Đoàn giám sát của HĐND huyện, Thường trực HĐND và các Ban của HĐND khi giám sát tại địa bàn đại biểu ứng cử.</w:t>
      </w:r>
    </w:p>
    <w:p w:rsidR="00205A52" w:rsidRPr="000D2B40" w:rsidRDefault="00205A52" w:rsidP="00205A52">
      <w:pPr>
        <w:shd w:val="clear" w:color="auto" w:fill="FFFFFF"/>
        <w:spacing w:before="120" w:after="120"/>
        <w:ind w:firstLine="709"/>
        <w:jc w:val="both"/>
        <w:rPr>
          <w:b/>
          <w:color w:val="auto"/>
        </w:rPr>
      </w:pPr>
      <w:r w:rsidRPr="000D2B40">
        <w:rPr>
          <w:b/>
          <w:color w:val="auto"/>
        </w:rPr>
        <w:t>II. Tồn tại, hạn chế</w:t>
      </w:r>
    </w:p>
    <w:p w:rsidR="00205A52" w:rsidRPr="000D2B40" w:rsidRDefault="00205A52" w:rsidP="00205A52">
      <w:pPr>
        <w:shd w:val="clear" w:color="auto" w:fill="FFFFFF"/>
        <w:spacing w:before="120" w:after="120"/>
        <w:ind w:firstLine="709"/>
        <w:jc w:val="both"/>
        <w:rPr>
          <w:color w:val="auto"/>
        </w:rPr>
      </w:pPr>
      <w:r w:rsidRPr="000D2B40">
        <w:rPr>
          <w:color w:val="auto"/>
        </w:rPr>
        <w:t>Một số báo cáo trình kỳ họp của UBND huyện nộp chậm so với quy định, chỉnh sửa đổi nhiều lần, gây khó khăn trong việc nghiên cứu của đại biểu.</w:t>
      </w:r>
    </w:p>
    <w:p w:rsidR="00205A52" w:rsidRPr="000D2B40" w:rsidRDefault="00205A52" w:rsidP="00205A52">
      <w:pPr>
        <w:shd w:val="clear" w:color="auto" w:fill="FFFFFF"/>
        <w:spacing w:before="120" w:after="120"/>
        <w:ind w:firstLine="709"/>
        <w:jc w:val="both"/>
        <w:rPr>
          <w:color w:val="auto"/>
        </w:rPr>
      </w:pPr>
      <w:r w:rsidRPr="000D2B40">
        <w:rPr>
          <w:color w:val="auto"/>
        </w:rPr>
        <w:t>Một số đại biểu còn chưa tích cực nghiên cứu báo cáo cũng như tham gia phát biểu ý kiến tại kỳ họp.</w:t>
      </w:r>
    </w:p>
    <w:p w:rsidR="00205A52" w:rsidRPr="000D2B40" w:rsidRDefault="00205A52" w:rsidP="00205A52">
      <w:pPr>
        <w:shd w:val="clear" w:color="auto" w:fill="FFFFFF"/>
        <w:spacing w:before="120" w:after="120"/>
        <w:ind w:firstLine="709"/>
        <w:jc w:val="both"/>
        <w:rPr>
          <w:color w:val="auto"/>
        </w:rPr>
      </w:pPr>
      <w:r w:rsidRPr="000D2B40">
        <w:rPr>
          <w:color w:val="auto"/>
        </w:rPr>
        <w:t>Hoạt động chất vấn tại kỳ họp còn hạn chế, chưa sôi nổi.</w:t>
      </w:r>
    </w:p>
    <w:p w:rsidR="00205A52" w:rsidRPr="000D2B40" w:rsidRDefault="00205A52" w:rsidP="00205A52">
      <w:pPr>
        <w:shd w:val="clear" w:color="auto" w:fill="FFFFFF"/>
        <w:spacing w:before="120" w:after="120"/>
        <w:ind w:firstLine="709"/>
        <w:jc w:val="both"/>
        <w:rPr>
          <w:color w:val="auto"/>
        </w:rPr>
      </w:pPr>
      <w:r w:rsidRPr="000D2B40">
        <w:rPr>
          <w:color w:val="auto"/>
        </w:rPr>
        <w:t>Một số đơn vị chịu sự giám sát báo cáo chưa đúng đề cương hướng dẫn, gửi báo cáo chưa đúng thời gian quy định, đề xuất, kiến nghị còn chung chung.</w:t>
      </w:r>
    </w:p>
    <w:p w:rsidR="00205A52" w:rsidRPr="000D2B40" w:rsidRDefault="00205A52" w:rsidP="00205A52">
      <w:pPr>
        <w:shd w:val="clear" w:color="auto" w:fill="FFFFFF"/>
        <w:spacing w:before="120" w:after="120"/>
        <w:ind w:firstLine="709"/>
        <w:jc w:val="both"/>
        <w:rPr>
          <w:color w:val="auto"/>
        </w:rPr>
      </w:pPr>
      <w:r w:rsidRPr="000D2B40">
        <w:rPr>
          <w:color w:val="auto"/>
        </w:rPr>
        <w:t>Năng lực, kinh nghiệm trong hoạt động giám sát của một số đại biểu còn hạn chế, chưa đáp ứng chức năng, nhiệm vụ được phân công. Một số thành viên Đoàn giám sát còn vắng mặt. Tại buổi giám sát, còn thụ động, ít tham gia phát biểu ý kiến.</w:t>
      </w:r>
    </w:p>
    <w:p w:rsidR="00205A52" w:rsidRPr="000D2B40" w:rsidRDefault="00205A52" w:rsidP="00205A52">
      <w:pPr>
        <w:shd w:val="clear" w:color="auto" w:fill="FFFFFF"/>
        <w:spacing w:before="120" w:after="120"/>
        <w:ind w:firstLine="709"/>
        <w:jc w:val="both"/>
        <w:rPr>
          <w:b/>
          <w:color w:val="auto"/>
        </w:rPr>
      </w:pPr>
      <w:r w:rsidRPr="000D2B40">
        <w:rPr>
          <w:b/>
          <w:color w:val="auto"/>
        </w:rPr>
        <w:t>C. Đề xuất, kiến nghị</w:t>
      </w:r>
    </w:p>
    <w:p w:rsidR="00205A52" w:rsidRPr="000D2B40" w:rsidRDefault="00205A52" w:rsidP="00205A52">
      <w:pPr>
        <w:shd w:val="clear" w:color="auto" w:fill="FFFFFF"/>
        <w:spacing w:before="120" w:after="120"/>
        <w:ind w:firstLine="709"/>
        <w:jc w:val="both"/>
        <w:rPr>
          <w:b/>
          <w:color w:val="auto"/>
        </w:rPr>
      </w:pPr>
      <w:r w:rsidRPr="000D2B40">
        <w:rPr>
          <w:b/>
          <w:color w:val="auto"/>
        </w:rPr>
        <w:t>1. Đối với HĐND huyện</w:t>
      </w:r>
    </w:p>
    <w:p w:rsidR="00205A52" w:rsidRPr="000D2B40" w:rsidRDefault="00205A52" w:rsidP="00205A52">
      <w:pPr>
        <w:shd w:val="clear" w:color="auto" w:fill="FFFFFF"/>
        <w:spacing w:before="120" w:after="120"/>
        <w:ind w:firstLine="709"/>
        <w:jc w:val="both"/>
        <w:rPr>
          <w:color w:val="auto"/>
        </w:rPr>
      </w:pPr>
      <w:r w:rsidRPr="000D2B40">
        <w:rPr>
          <w:color w:val="auto"/>
        </w:rPr>
        <w:t>- Lựa chọn những nội dung bức xúc, nổi cộm, kéo dài liên quan đến đời sống xã hội để thực hiện giám sát.</w:t>
      </w:r>
    </w:p>
    <w:p w:rsidR="00205A52" w:rsidRPr="000D2B40" w:rsidRDefault="00205A52" w:rsidP="00205A52">
      <w:pPr>
        <w:shd w:val="clear" w:color="auto" w:fill="FFFFFF"/>
        <w:spacing w:before="120" w:after="120"/>
        <w:ind w:firstLine="709"/>
        <w:jc w:val="both"/>
        <w:rPr>
          <w:color w:val="auto"/>
        </w:rPr>
      </w:pPr>
      <w:r w:rsidRPr="000D2B40">
        <w:rPr>
          <w:color w:val="auto"/>
        </w:rPr>
        <w:t>- Đổi mới hoạt động giám sát chuyên đề theo hướng tập trung, tránh dàn trải, gây ảnh hướng đến hoạt động các đơn vị chịu sự giám sát.</w:t>
      </w:r>
    </w:p>
    <w:p w:rsidR="00205A52" w:rsidRPr="000D2B40" w:rsidRDefault="00205A52" w:rsidP="00205A52">
      <w:pPr>
        <w:shd w:val="clear" w:color="auto" w:fill="FFFFFF"/>
        <w:spacing w:before="120" w:after="120"/>
        <w:ind w:firstLine="709"/>
        <w:jc w:val="both"/>
        <w:rPr>
          <w:b/>
          <w:color w:val="auto"/>
        </w:rPr>
      </w:pPr>
      <w:r w:rsidRPr="000D2B40">
        <w:rPr>
          <w:b/>
          <w:color w:val="auto"/>
        </w:rPr>
        <w:t>2. Đối với các Ban của HĐND</w:t>
      </w:r>
    </w:p>
    <w:p w:rsidR="00205A52" w:rsidRPr="000D2B40" w:rsidRDefault="00205A52" w:rsidP="00205A52">
      <w:pPr>
        <w:shd w:val="clear" w:color="auto" w:fill="FFFFFF"/>
        <w:spacing w:before="120" w:after="120"/>
        <w:ind w:firstLine="709"/>
        <w:jc w:val="both"/>
        <w:rPr>
          <w:color w:val="auto"/>
        </w:rPr>
      </w:pPr>
      <w:r w:rsidRPr="000D2B40">
        <w:rPr>
          <w:color w:val="auto"/>
        </w:rPr>
        <w:t>Căn cứ vào Chương trình giám sát của HĐND và tình hình thực tế để chủ động lựa chọn, xây dựng kế hoạch và tổ chức thực hiện chương trình giám sát theo chức năng, nhiệm vụ quy định.</w:t>
      </w:r>
    </w:p>
    <w:p w:rsidR="00205A52" w:rsidRPr="000D2B40" w:rsidRDefault="00205A52" w:rsidP="00205A52">
      <w:pPr>
        <w:shd w:val="clear" w:color="auto" w:fill="FFFFFF"/>
        <w:spacing w:before="120" w:after="120"/>
        <w:ind w:firstLine="709"/>
        <w:jc w:val="both"/>
        <w:rPr>
          <w:b/>
          <w:color w:val="auto"/>
        </w:rPr>
      </w:pPr>
      <w:r w:rsidRPr="000D2B40">
        <w:rPr>
          <w:b/>
          <w:color w:val="auto"/>
        </w:rPr>
        <w:t xml:space="preserve">3. Đối với đại biểu HĐND, Tổ đại biểu HĐND </w:t>
      </w:r>
    </w:p>
    <w:p w:rsidR="00205A52" w:rsidRPr="000D2B40" w:rsidRDefault="00205A52" w:rsidP="00205A52">
      <w:pPr>
        <w:shd w:val="clear" w:color="auto" w:fill="FFFFFF"/>
        <w:tabs>
          <w:tab w:val="left" w:pos="4536"/>
        </w:tabs>
        <w:spacing w:before="120" w:after="120"/>
        <w:ind w:firstLine="709"/>
        <w:jc w:val="both"/>
        <w:rPr>
          <w:color w:val="auto"/>
        </w:rPr>
      </w:pPr>
      <w:r w:rsidRPr="000D2B40">
        <w:rPr>
          <w:color w:val="auto"/>
        </w:rPr>
        <w:t>- Tăng cường hoạt động chất vấn tại kỳ họp.</w:t>
      </w:r>
    </w:p>
    <w:p w:rsidR="00205A52" w:rsidRPr="000D2B40" w:rsidRDefault="00205A52" w:rsidP="00205A52">
      <w:pPr>
        <w:shd w:val="clear" w:color="auto" w:fill="FFFFFF"/>
        <w:tabs>
          <w:tab w:val="left" w:pos="4536"/>
        </w:tabs>
        <w:spacing w:before="120" w:after="120"/>
        <w:ind w:firstLine="709"/>
        <w:jc w:val="both"/>
        <w:rPr>
          <w:color w:val="auto"/>
        </w:rPr>
      </w:pPr>
      <w:r w:rsidRPr="000D2B40">
        <w:rPr>
          <w:color w:val="auto"/>
        </w:rPr>
        <w:lastRenderedPageBreak/>
        <w:t>- Nâng cao chất lượng hoạt động thảo luận Tổ; tập trung kiến nghị, đề xuất các giải pháp để góp phần thúc đẩy phát triển kinh tế - xã hội ở địa phương.</w:t>
      </w:r>
    </w:p>
    <w:p w:rsidR="00205A52" w:rsidRPr="000D2B40" w:rsidRDefault="00205A52" w:rsidP="00205A52">
      <w:pPr>
        <w:shd w:val="clear" w:color="auto" w:fill="FFFFFF"/>
        <w:spacing w:before="120" w:after="120"/>
        <w:ind w:firstLine="709"/>
        <w:jc w:val="both"/>
        <w:rPr>
          <w:color w:val="auto"/>
        </w:rPr>
      </w:pPr>
      <w:r w:rsidRPr="000D2B40">
        <w:rPr>
          <w:color w:val="auto"/>
        </w:rPr>
        <w:t xml:space="preserve">- Thực hiện tốt chức năng, nhiệm vụ của người đại biểu dân cử. Tích cực tham gia hoạt động giám sát chuyên đề tại địa bàn ứng cử. </w:t>
      </w:r>
    </w:p>
    <w:p w:rsidR="00205A52" w:rsidRPr="000D2B40" w:rsidRDefault="00205A52" w:rsidP="00205A52">
      <w:pPr>
        <w:shd w:val="clear" w:color="auto" w:fill="FFFFFF"/>
        <w:spacing w:before="120" w:after="120"/>
        <w:ind w:firstLine="709"/>
        <w:jc w:val="both"/>
        <w:rPr>
          <w:b/>
          <w:color w:val="auto"/>
        </w:rPr>
      </w:pPr>
      <w:r w:rsidRPr="000D2B40">
        <w:rPr>
          <w:b/>
          <w:color w:val="auto"/>
        </w:rPr>
        <w:t>3. Đối với UBND huyện</w:t>
      </w:r>
    </w:p>
    <w:p w:rsidR="00205A52" w:rsidRPr="000D2B40" w:rsidRDefault="00205A52" w:rsidP="00205A52">
      <w:pPr>
        <w:shd w:val="clear" w:color="auto" w:fill="FFFFFF"/>
        <w:spacing w:before="120" w:after="120"/>
        <w:ind w:firstLine="720"/>
        <w:jc w:val="both"/>
        <w:rPr>
          <w:color w:val="auto"/>
        </w:rPr>
      </w:pPr>
      <w:r w:rsidRPr="000D2B40">
        <w:rPr>
          <w:color w:val="auto"/>
        </w:rPr>
        <w:t>Chỉ đạo sát sao, đôn đốc các cơ quan chuyên môn xây dựng các báo cáo trình kỳ họp đảm bảo chất lượng, tiến độ thời gian quy định.</w:t>
      </w:r>
    </w:p>
    <w:p w:rsidR="00205A52" w:rsidRPr="000D2B40" w:rsidRDefault="00205A52" w:rsidP="00205A52">
      <w:pPr>
        <w:shd w:val="clear" w:color="auto" w:fill="FFFFFF"/>
        <w:spacing w:before="120" w:after="120"/>
        <w:ind w:firstLine="709"/>
        <w:jc w:val="both"/>
        <w:rPr>
          <w:color w:val="auto"/>
        </w:rPr>
      </w:pPr>
      <w:r w:rsidRPr="000D2B40">
        <w:rPr>
          <w:color w:val="auto"/>
        </w:rPr>
        <w:t>Trên đây là báo cáo kết quả thực hiện Chương trình giám sát 6 tháng cuối năm 2016 của HĐND huyện. Thường trực HĐND huyện tổng hợp, báo cáo HĐND huyện./.</w:t>
      </w:r>
    </w:p>
    <w:tbl>
      <w:tblPr>
        <w:tblW w:w="0" w:type="auto"/>
        <w:tblInd w:w="108" w:type="dxa"/>
        <w:tblLook w:val="01E0"/>
      </w:tblPr>
      <w:tblGrid>
        <w:gridCol w:w="4349"/>
        <w:gridCol w:w="5114"/>
      </w:tblGrid>
      <w:tr w:rsidR="00205A52" w:rsidRPr="000D2B40" w:rsidTr="00A0367B">
        <w:trPr>
          <w:trHeight w:val="1521"/>
        </w:trPr>
        <w:tc>
          <w:tcPr>
            <w:tcW w:w="4488" w:type="dxa"/>
            <w:shd w:val="clear" w:color="auto" w:fill="auto"/>
          </w:tcPr>
          <w:p w:rsidR="00205A52" w:rsidRPr="000D2B40" w:rsidRDefault="00205A52" w:rsidP="00A0367B">
            <w:pPr>
              <w:rPr>
                <w:b/>
                <w:i/>
                <w:color w:val="auto"/>
                <w:sz w:val="24"/>
              </w:rPr>
            </w:pPr>
            <w:r w:rsidRPr="000D2B40">
              <w:rPr>
                <w:b/>
                <w:i/>
                <w:color w:val="auto"/>
                <w:sz w:val="24"/>
              </w:rPr>
              <w:t>Nơi nhận:</w:t>
            </w:r>
          </w:p>
          <w:p w:rsidR="00205A52" w:rsidRPr="000D2B40" w:rsidRDefault="00205A52" w:rsidP="00A0367B">
            <w:pPr>
              <w:rPr>
                <w:color w:val="auto"/>
                <w:sz w:val="22"/>
              </w:rPr>
            </w:pPr>
            <w:r w:rsidRPr="000D2B40">
              <w:rPr>
                <w:color w:val="auto"/>
                <w:sz w:val="22"/>
                <w:szCs w:val="22"/>
              </w:rPr>
              <w:t>- TT Huyện ủy;</w:t>
            </w:r>
          </w:p>
          <w:p w:rsidR="00205A52" w:rsidRPr="000D2B40" w:rsidRDefault="00205A52" w:rsidP="00A0367B">
            <w:pPr>
              <w:rPr>
                <w:color w:val="auto"/>
                <w:sz w:val="22"/>
              </w:rPr>
            </w:pPr>
            <w:r w:rsidRPr="000D2B40">
              <w:rPr>
                <w:color w:val="auto"/>
                <w:sz w:val="22"/>
                <w:szCs w:val="22"/>
              </w:rPr>
              <w:t>- HĐND huyện;</w:t>
            </w:r>
          </w:p>
          <w:p w:rsidR="00205A52" w:rsidRPr="000D2B40" w:rsidRDefault="00205A52" w:rsidP="00A0367B">
            <w:pPr>
              <w:rPr>
                <w:color w:val="auto"/>
                <w:sz w:val="22"/>
              </w:rPr>
            </w:pPr>
            <w:r w:rsidRPr="000D2B40">
              <w:rPr>
                <w:color w:val="auto"/>
                <w:sz w:val="22"/>
                <w:szCs w:val="22"/>
              </w:rPr>
              <w:t>- UBMTTQ VN huyện;</w:t>
            </w:r>
          </w:p>
          <w:p w:rsidR="00205A52" w:rsidRPr="000D2B40" w:rsidRDefault="00205A52" w:rsidP="00A0367B">
            <w:pPr>
              <w:rPr>
                <w:color w:val="auto"/>
                <w:vertAlign w:val="subscript"/>
              </w:rPr>
            </w:pPr>
            <w:r w:rsidRPr="000D2B40">
              <w:rPr>
                <w:color w:val="auto"/>
                <w:sz w:val="22"/>
                <w:szCs w:val="22"/>
              </w:rPr>
              <w:t>- Lưu: VT-LT.</w:t>
            </w:r>
            <w:r w:rsidRPr="000D2B40">
              <w:rPr>
                <w:color w:val="auto"/>
                <w:sz w:val="22"/>
                <w:szCs w:val="22"/>
                <w:vertAlign w:val="subscript"/>
              </w:rPr>
              <w:t>(D)</w:t>
            </w:r>
          </w:p>
        </w:tc>
        <w:tc>
          <w:tcPr>
            <w:tcW w:w="5272" w:type="dxa"/>
            <w:shd w:val="clear" w:color="auto" w:fill="auto"/>
          </w:tcPr>
          <w:p w:rsidR="00205A52" w:rsidRPr="000D2B40" w:rsidRDefault="00205A52" w:rsidP="00A0367B">
            <w:pPr>
              <w:spacing w:before="80"/>
              <w:jc w:val="center"/>
              <w:rPr>
                <w:b/>
                <w:color w:val="auto"/>
              </w:rPr>
            </w:pPr>
            <w:r w:rsidRPr="000D2B40">
              <w:rPr>
                <w:b/>
                <w:color w:val="auto"/>
              </w:rPr>
              <w:t xml:space="preserve">TM. THƯỜNG TRỰC HĐND </w:t>
            </w:r>
          </w:p>
          <w:p w:rsidR="00205A52" w:rsidRPr="000D2B40" w:rsidRDefault="00205A52" w:rsidP="00A0367B">
            <w:pPr>
              <w:jc w:val="center"/>
              <w:rPr>
                <w:b/>
                <w:color w:val="auto"/>
              </w:rPr>
            </w:pPr>
            <w:r w:rsidRPr="000D2B40">
              <w:rPr>
                <w:b/>
                <w:color w:val="auto"/>
              </w:rPr>
              <w:t>CHỦ TỊCH</w:t>
            </w:r>
          </w:p>
          <w:p w:rsidR="00205A52" w:rsidRPr="000D2B40" w:rsidRDefault="00205A52" w:rsidP="00A0367B">
            <w:pPr>
              <w:jc w:val="center"/>
              <w:rPr>
                <w:b/>
                <w:color w:val="auto"/>
              </w:rPr>
            </w:pPr>
            <w:r w:rsidRPr="000D2B40">
              <w:rPr>
                <w:b/>
                <w:color w:val="auto"/>
              </w:rPr>
              <w:t>(Đã ký)</w:t>
            </w:r>
          </w:p>
          <w:p w:rsidR="00205A52" w:rsidRPr="000D2B40" w:rsidRDefault="00205A52" w:rsidP="00A0367B">
            <w:pPr>
              <w:jc w:val="center"/>
              <w:rPr>
                <w:b/>
                <w:color w:val="auto"/>
              </w:rPr>
            </w:pPr>
          </w:p>
          <w:p w:rsidR="00205A52" w:rsidRPr="000D2B40" w:rsidRDefault="00205A52" w:rsidP="00A0367B">
            <w:pPr>
              <w:jc w:val="center"/>
              <w:rPr>
                <w:b/>
                <w:color w:val="auto"/>
              </w:rPr>
            </w:pPr>
            <w:r w:rsidRPr="000D2B40">
              <w:rPr>
                <w:b/>
                <w:color w:val="auto"/>
              </w:rPr>
              <w:t>Đoàn Văn Minh</w:t>
            </w:r>
          </w:p>
          <w:p w:rsidR="00205A52" w:rsidRPr="000D2B40" w:rsidRDefault="00205A52" w:rsidP="00A0367B">
            <w:pPr>
              <w:jc w:val="center"/>
              <w:rPr>
                <w:b/>
                <w:color w:val="auto"/>
              </w:rPr>
            </w:pPr>
          </w:p>
        </w:tc>
      </w:tr>
    </w:tbl>
    <w:p w:rsidR="00205A52" w:rsidRPr="000D2B40" w:rsidRDefault="00205A52" w:rsidP="00205A52">
      <w:pPr>
        <w:shd w:val="clear" w:color="auto" w:fill="FFFFFF"/>
        <w:spacing w:before="120" w:line="180" w:lineRule="atLeast"/>
        <w:ind w:firstLine="709"/>
        <w:jc w:val="both"/>
        <w:rPr>
          <w:color w:val="auto"/>
        </w:rPr>
      </w:pPr>
    </w:p>
    <w:p w:rsidR="00205A52" w:rsidRPr="000D2B40" w:rsidRDefault="00205A52" w:rsidP="00205A52">
      <w:pPr>
        <w:spacing w:after="200" w:line="276" w:lineRule="auto"/>
        <w:rPr>
          <w:color w:val="auto"/>
        </w:rPr>
      </w:pPr>
      <w:r w:rsidRPr="000D2B40">
        <w:rPr>
          <w:color w:val="auto"/>
        </w:rPr>
        <w:br w:type="page"/>
      </w:r>
    </w:p>
    <w:p w:rsidR="00E619B6" w:rsidRDefault="00E619B6"/>
    <w:sectPr w:rsidR="00E619B6" w:rsidSect="00B8025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E16" w:rsidRDefault="00F94E16" w:rsidP="00205A52">
      <w:r>
        <w:separator/>
      </w:r>
    </w:p>
  </w:endnote>
  <w:endnote w:type="continuationSeparator" w:id="1">
    <w:p w:rsidR="00F94E16" w:rsidRDefault="00F94E16" w:rsidP="00205A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E16" w:rsidRDefault="00F94E16" w:rsidP="00205A52">
      <w:r>
        <w:separator/>
      </w:r>
    </w:p>
  </w:footnote>
  <w:footnote w:type="continuationSeparator" w:id="1">
    <w:p w:rsidR="00F94E16" w:rsidRDefault="00F94E16" w:rsidP="00205A52">
      <w:r>
        <w:continuationSeparator/>
      </w:r>
    </w:p>
  </w:footnote>
  <w:footnote w:id="2">
    <w:p w:rsidR="00205A52" w:rsidRPr="00CF1A5E" w:rsidRDefault="00205A52" w:rsidP="00205A52">
      <w:pPr>
        <w:ind w:firstLine="567"/>
        <w:jc w:val="both"/>
        <w:rPr>
          <w:color w:val="auto"/>
          <w:sz w:val="20"/>
          <w:szCs w:val="20"/>
        </w:rPr>
      </w:pPr>
      <w:r w:rsidRPr="00CF1A5E">
        <w:rPr>
          <w:color w:val="auto"/>
          <w:sz w:val="20"/>
          <w:szCs w:val="20"/>
          <w:vertAlign w:val="superscript"/>
        </w:rPr>
        <w:t>(</w:t>
      </w:r>
      <w:r w:rsidRPr="00CF1A5E">
        <w:rPr>
          <w:rStyle w:val="FootnoteReference"/>
          <w:color w:val="auto"/>
          <w:sz w:val="20"/>
          <w:szCs w:val="20"/>
        </w:rPr>
        <w:footnoteRef/>
      </w:r>
      <w:r w:rsidRPr="00CF1A5E">
        <w:rPr>
          <w:color w:val="auto"/>
          <w:sz w:val="20"/>
          <w:szCs w:val="20"/>
          <w:vertAlign w:val="superscript"/>
        </w:rPr>
        <w:t>)</w:t>
      </w:r>
      <w:r w:rsidRPr="00CF1A5E">
        <w:rPr>
          <w:color w:val="auto"/>
          <w:sz w:val="20"/>
          <w:szCs w:val="20"/>
        </w:rPr>
        <w:t xml:space="preserve"> </w:t>
      </w:r>
      <w:r w:rsidRPr="00CF1A5E">
        <w:rPr>
          <w:b/>
          <w:color w:val="auto"/>
          <w:sz w:val="20"/>
          <w:szCs w:val="20"/>
        </w:rPr>
        <w:t>Kỳ họp 2:</w:t>
      </w:r>
      <w:r w:rsidRPr="00CF1A5E">
        <w:rPr>
          <w:color w:val="auto"/>
          <w:sz w:val="20"/>
          <w:szCs w:val="20"/>
        </w:rPr>
        <w:t xml:space="preserve"> (1). Báo cáo tình hình tổ chức và hoạt động của UBND huyện 6 tháng đầu năm; phương hướng, nhiệm vụ 6 tháng cuối năm 2016; (2). Báo cáo kết quả thực hiện các chỉ tiêu KTXH-QPAN của huyện 6 tháng đầu năm; phương hướng nhiệm vụ 6 tháng cuối năm 2016; (3). Báo cáo quyết toán ngân sách năm 2015; tình hình thu chi ngân sách 6 tháng đầu năm và nhiệm vụ thu chi ngân sách 6 tháng cuối năm 2016; (4). Báo cáo trả lời ý kiến, kiến nghị cử tri sau kỳ họp thứ nhất và trước kỳ họp thứ hai HĐND huyện khóa X; (5). Báo cáo tình hình giải quyết đơn thư khiếu nại tố cáo của công dân và công tác thanh tra, phòng, chống tham nhũng, thực hành tiết kiệm, chống lãng phí trên địa bàn huyện 6 tháng đầu năm; phương hướng, nhiệm vụ 6 tháng cuối năm 2016; (6). Báo cáo công tác phòng, chống tội phạm và vi phạm pháp luật trên địa bàn huyện 6 tháng đầu năm; phương hướng, nhiệm vụ 6 tháng cuối năm 2016.</w:t>
      </w:r>
    </w:p>
    <w:p w:rsidR="00205A52" w:rsidRPr="006C639A" w:rsidRDefault="00205A52" w:rsidP="00205A52">
      <w:pPr>
        <w:ind w:firstLine="567"/>
        <w:jc w:val="both"/>
        <w:rPr>
          <w:sz w:val="20"/>
          <w:szCs w:val="20"/>
        </w:rPr>
      </w:pPr>
      <w:r w:rsidRPr="00CF1A5E">
        <w:rPr>
          <w:b/>
          <w:color w:val="auto"/>
          <w:sz w:val="20"/>
          <w:szCs w:val="20"/>
        </w:rPr>
        <w:t>Kỳ họp 3:</w:t>
      </w:r>
      <w:r w:rsidRPr="00CF1A5E">
        <w:rPr>
          <w:color w:val="auto"/>
          <w:sz w:val="20"/>
          <w:szCs w:val="20"/>
        </w:rPr>
        <w:t xml:space="preserve"> (1). Báo cáo công tác chỉ đạo, điều hành của UBND huyện năm 2016; phương hướng, nhiệm vụ năm 2017; (2). Báo cáo đánh giá tình hình thực hiện các nhiệm vụ phát triển kinh tế - xã hội, đảm bảo quốc phòng – an ninh năm 2016; phương hướng, nhiệm vụ năm 2017; (3). Báo cáo tình hình thực hiện dự toán thu chi ngân sách năm 2016; Phương án phân bổ dự toán ngân sách năm 2017; (4). Báo cáo </w:t>
      </w:r>
      <w:r w:rsidRPr="00CF1A5E">
        <w:rPr>
          <w:color w:val="auto"/>
          <w:sz w:val="20"/>
          <w:szCs w:val="20"/>
          <w:lang w:val="vi-VN"/>
        </w:rPr>
        <w:t>công tác</w:t>
      </w:r>
      <w:r w:rsidRPr="00CF1A5E">
        <w:rPr>
          <w:color w:val="auto"/>
          <w:sz w:val="20"/>
          <w:szCs w:val="20"/>
        </w:rPr>
        <w:t xml:space="preserve"> thanh tra, kiểm tra;</w:t>
      </w:r>
      <w:r w:rsidRPr="00CF1A5E">
        <w:rPr>
          <w:color w:val="auto"/>
          <w:sz w:val="20"/>
          <w:szCs w:val="20"/>
          <w:lang w:val="vi-VN"/>
        </w:rPr>
        <w:t xml:space="preserve"> phòng, chống tham nhũng</w:t>
      </w:r>
      <w:r w:rsidRPr="00CF1A5E">
        <w:rPr>
          <w:color w:val="auto"/>
          <w:sz w:val="20"/>
          <w:szCs w:val="20"/>
        </w:rPr>
        <w:t xml:space="preserve"> năm 2016; phương hướng, nhiệm vụ năm 2017; (5). Báo cáo công tác </w:t>
      </w:r>
      <w:r w:rsidRPr="00CF1A5E">
        <w:rPr>
          <w:color w:val="auto"/>
          <w:sz w:val="20"/>
          <w:szCs w:val="20"/>
          <w:lang w:val="vi-VN"/>
        </w:rPr>
        <w:t>thực hành tiết kiệm, chống lãng phí</w:t>
      </w:r>
      <w:r w:rsidRPr="00CF1A5E">
        <w:rPr>
          <w:color w:val="auto"/>
          <w:sz w:val="20"/>
          <w:szCs w:val="20"/>
        </w:rPr>
        <w:t xml:space="preserve"> năm 2016; phương hướng, nhiệm vụ năm 2017; (6). Báo cáo tình hình tiếp công dân, </w:t>
      </w:r>
      <w:r w:rsidRPr="00CF1A5E">
        <w:rPr>
          <w:color w:val="auto"/>
          <w:sz w:val="20"/>
          <w:szCs w:val="20"/>
          <w:lang w:val="vi-VN"/>
        </w:rPr>
        <w:t>giải quyết khiếu nại, tố cáo và kiến nghị của cử tri</w:t>
      </w:r>
      <w:r w:rsidRPr="00CF1A5E">
        <w:rPr>
          <w:color w:val="auto"/>
          <w:sz w:val="20"/>
          <w:szCs w:val="20"/>
        </w:rPr>
        <w:t xml:space="preserve"> năm 2016; phương hướng, nhiệm vụ năm 2017; (7). Báo cáo công tác phòng, chống tội phạm và vi phạm pháp luật trên địa bàn huyện năm 2016; phương hướng, nhiệm vụ năm 2017; (8). Báo cáo trả lời các ý kiến, kiến nghị của cử tri trước kỳ họp thứ 3; (9). Báo cáo việc thực hiện các chương trình MTQG, chính sách dân tộc trên địa bàn năm 2016.</w:t>
      </w:r>
      <w:r w:rsidRPr="0044532B">
        <w:rPr>
          <w:sz w:val="20"/>
          <w:szCs w:val="2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205A52"/>
    <w:rsid w:val="00205A52"/>
    <w:rsid w:val="004A5DBD"/>
    <w:rsid w:val="0086205A"/>
    <w:rsid w:val="00B80256"/>
    <w:rsid w:val="00E365DD"/>
    <w:rsid w:val="00E619B6"/>
    <w:rsid w:val="00F94E1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52"/>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205A52"/>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5A52"/>
    <w:rPr>
      <w:rFonts w:ascii="Times New Roman" w:eastAsia="Times New Roman" w:hAnsi="Times New Roman" w:cs="Times New Roman"/>
      <w:i/>
      <w:sz w:val="24"/>
      <w:szCs w:val="24"/>
      <w:lang w:val="vi-VN" w:eastAsia="vi-VN"/>
    </w:rPr>
  </w:style>
  <w:style w:type="paragraph" w:styleId="BodyText">
    <w:name w:val="Body Text"/>
    <w:basedOn w:val="Normal"/>
    <w:link w:val="BodyTextChar"/>
    <w:rsid w:val="00205A52"/>
    <w:pPr>
      <w:jc w:val="center"/>
    </w:pPr>
    <w:rPr>
      <w:rFonts w:ascii=".VnTimeH" w:hAnsi=".VnTimeH"/>
      <w:b/>
      <w:bCs/>
      <w:color w:val="auto"/>
      <w:szCs w:val="20"/>
    </w:rPr>
  </w:style>
  <w:style w:type="character" w:customStyle="1" w:styleId="BodyTextChar">
    <w:name w:val="Body Text Char"/>
    <w:basedOn w:val="DefaultParagraphFont"/>
    <w:link w:val="BodyText"/>
    <w:rsid w:val="00205A52"/>
    <w:rPr>
      <w:rFonts w:ascii=".VnTimeH" w:eastAsia="Times New Roman" w:hAnsi=".VnTimeH" w:cs="Times New Roman"/>
      <w:b/>
      <w:bCs/>
      <w:sz w:val="28"/>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unhideWhenUsed/>
    <w:qFormat/>
    <w:rsid w:val="00205A5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2018-05-23T07:24:00Z</dcterms:created>
  <dcterms:modified xsi:type="dcterms:W3CDTF">2018-05-23T07:24:00Z</dcterms:modified>
</cp:coreProperties>
</file>