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8" w:type="dxa"/>
        <w:tblInd w:w="108" w:type="dxa"/>
        <w:tblLook w:val="01E0"/>
      </w:tblPr>
      <w:tblGrid>
        <w:gridCol w:w="3742"/>
        <w:gridCol w:w="5916"/>
      </w:tblGrid>
      <w:tr w:rsidR="00297F7D" w:rsidRPr="000D2B40" w:rsidTr="00A0367B">
        <w:trPr>
          <w:trHeight w:val="787"/>
        </w:trPr>
        <w:tc>
          <w:tcPr>
            <w:tcW w:w="3742" w:type="dxa"/>
          </w:tcPr>
          <w:p w:rsidR="00297F7D" w:rsidRPr="000D2B40" w:rsidRDefault="00297F7D" w:rsidP="00A0367B">
            <w:pPr>
              <w:jc w:val="center"/>
              <w:rPr>
                <w:b/>
                <w:color w:val="auto"/>
                <w:sz w:val="26"/>
              </w:rPr>
            </w:pPr>
            <w:r w:rsidRPr="000D2B40">
              <w:rPr>
                <w:b/>
                <w:color w:val="auto"/>
                <w:sz w:val="26"/>
              </w:rPr>
              <w:t>ỦY BAN NHÂN DÂN</w:t>
            </w:r>
          </w:p>
          <w:p w:rsidR="00297F7D" w:rsidRPr="000D2B40" w:rsidRDefault="00297F7D" w:rsidP="00A0367B">
            <w:pPr>
              <w:jc w:val="center"/>
              <w:rPr>
                <w:b/>
                <w:color w:val="auto"/>
                <w:szCs w:val="28"/>
              </w:rPr>
            </w:pPr>
            <w:r w:rsidRPr="00354FF8">
              <w:rPr>
                <w:noProof/>
                <w:color w:val="auto"/>
                <w:szCs w:val="28"/>
              </w:rPr>
              <w:pict>
                <v:line id="_x0000_s1026" style="position:absolute;left:0;text-align:left;z-index:251660288" from="64.6pt,15.95pt" to="99.6pt,15.95pt"/>
              </w:pict>
            </w:r>
            <w:r w:rsidRPr="000D2B40">
              <w:rPr>
                <w:b/>
                <w:color w:val="auto"/>
                <w:sz w:val="26"/>
              </w:rPr>
              <w:t>HUYỆN SA THẦY</w:t>
            </w:r>
          </w:p>
        </w:tc>
        <w:tc>
          <w:tcPr>
            <w:tcW w:w="5916" w:type="dxa"/>
          </w:tcPr>
          <w:p w:rsidR="00297F7D" w:rsidRPr="000D2B40" w:rsidRDefault="00297F7D" w:rsidP="00A0367B">
            <w:pPr>
              <w:jc w:val="center"/>
              <w:rPr>
                <w:b/>
                <w:color w:val="auto"/>
                <w:sz w:val="26"/>
                <w:szCs w:val="26"/>
              </w:rPr>
            </w:pPr>
            <w:r w:rsidRPr="000D2B40">
              <w:rPr>
                <w:b/>
                <w:color w:val="auto"/>
                <w:sz w:val="26"/>
                <w:szCs w:val="26"/>
              </w:rPr>
              <w:t>CỘNG HÒA XÃ HỘI CHỦ NGHĨA VIỆT NAM</w:t>
            </w:r>
          </w:p>
          <w:p w:rsidR="00297F7D" w:rsidRPr="000D2B40" w:rsidRDefault="00297F7D" w:rsidP="00A0367B">
            <w:pPr>
              <w:jc w:val="center"/>
              <w:rPr>
                <w:b/>
                <w:color w:val="auto"/>
                <w:szCs w:val="28"/>
              </w:rPr>
            </w:pPr>
            <w:r w:rsidRPr="00354FF8">
              <w:rPr>
                <w:i/>
                <w:noProof/>
                <w:color w:val="auto"/>
                <w:szCs w:val="28"/>
              </w:rPr>
              <w:pict>
                <v:line id="_x0000_s1027" style="position:absolute;left:0;text-align:left;z-index:251661312" from="55.6pt,16.45pt" to="223.6pt,16.4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297F7D" w:rsidRPr="000D2B40" w:rsidTr="00A0367B">
        <w:trPr>
          <w:trHeight w:val="464"/>
        </w:trPr>
        <w:tc>
          <w:tcPr>
            <w:tcW w:w="3742" w:type="dxa"/>
          </w:tcPr>
          <w:p w:rsidR="00297F7D" w:rsidRPr="000D2B40" w:rsidRDefault="00297F7D" w:rsidP="00A0367B">
            <w:pPr>
              <w:spacing w:before="100"/>
              <w:jc w:val="center"/>
              <w:rPr>
                <w:b/>
                <w:color w:val="auto"/>
                <w:sz w:val="26"/>
                <w:szCs w:val="26"/>
              </w:rPr>
            </w:pPr>
            <w:r w:rsidRPr="000D2B40">
              <w:rPr>
                <w:color w:val="auto"/>
                <w:sz w:val="26"/>
                <w:szCs w:val="26"/>
              </w:rPr>
              <w:t>Số: 297/BC-UBND</w:t>
            </w:r>
          </w:p>
        </w:tc>
        <w:tc>
          <w:tcPr>
            <w:tcW w:w="5916" w:type="dxa"/>
          </w:tcPr>
          <w:p w:rsidR="00297F7D" w:rsidRPr="000D2B40" w:rsidRDefault="00297F7D" w:rsidP="00A0367B">
            <w:pPr>
              <w:spacing w:before="100"/>
              <w:jc w:val="center"/>
              <w:rPr>
                <w:i/>
                <w:color w:val="auto"/>
                <w:szCs w:val="28"/>
              </w:rPr>
            </w:pPr>
            <w:r w:rsidRPr="000D2B40">
              <w:rPr>
                <w:i/>
                <w:color w:val="auto"/>
                <w:szCs w:val="28"/>
              </w:rPr>
              <w:t>Sa Thầy, ngày 17  tháng 7  năm 2017</w:t>
            </w:r>
          </w:p>
        </w:tc>
      </w:tr>
    </w:tbl>
    <w:p w:rsidR="00297F7D" w:rsidRPr="000D2B40" w:rsidRDefault="00297F7D" w:rsidP="00297F7D">
      <w:pPr>
        <w:jc w:val="center"/>
        <w:rPr>
          <w:b/>
          <w:color w:val="auto"/>
          <w:szCs w:val="28"/>
        </w:rPr>
      </w:pPr>
    </w:p>
    <w:p w:rsidR="00297F7D" w:rsidRPr="000D2B40" w:rsidRDefault="00297F7D" w:rsidP="00297F7D">
      <w:pPr>
        <w:jc w:val="center"/>
        <w:rPr>
          <w:b/>
          <w:color w:val="auto"/>
          <w:szCs w:val="28"/>
        </w:rPr>
      </w:pPr>
      <w:r w:rsidRPr="000D2B40">
        <w:rPr>
          <w:b/>
          <w:color w:val="auto"/>
          <w:szCs w:val="28"/>
        </w:rPr>
        <w:t>BÁO CÁO</w:t>
      </w:r>
    </w:p>
    <w:p w:rsidR="00297F7D" w:rsidRPr="000D2B40" w:rsidRDefault="00297F7D" w:rsidP="00297F7D">
      <w:pPr>
        <w:pStyle w:val="Vnbnnidung30"/>
        <w:shd w:val="clear" w:color="auto" w:fill="auto"/>
        <w:spacing w:after="0" w:line="240" w:lineRule="auto"/>
        <w:rPr>
          <w:rStyle w:val="Vnbnnidung3Gincch0pt"/>
          <w:b w:val="0"/>
          <w:sz w:val="28"/>
          <w:szCs w:val="28"/>
        </w:rPr>
      </w:pPr>
      <w:r w:rsidRPr="000D2B40">
        <w:rPr>
          <w:rStyle w:val="Vnbnnidung3Gincch0pt"/>
          <w:sz w:val="28"/>
          <w:szCs w:val="28"/>
        </w:rPr>
        <w:t>Quyết toán ngân sách huyện năm 2016</w:t>
      </w:r>
    </w:p>
    <w:p w:rsidR="00297F7D" w:rsidRPr="000D2B40" w:rsidRDefault="00297F7D" w:rsidP="00297F7D">
      <w:pPr>
        <w:pStyle w:val="Vnbnnidung30"/>
        <w:shd w:val="clear" w:color="auto" w:fill="auto"/>
        <w:spacing w:after="0" w:line="240" w:lineRule="auto"/>
        <w:rPr>
          <w:b w:val="0"/>
          <w:szCs w:val="28"/>
        </w:rPr>
      </w:pPr>
      <w:r>
        <w:rPr>
          <w:b w:val="0"/>
          <w:noProof/>
          <w:szCs w:val="28"/>
        </w:rPr>
        <w:pict>
          <v:shapetype id="_x0000_t32" coordsize="21600,21600" o:spt="32" o:oned="t" path="m,l21600,21600e" filled="f">
            <v:path arrowok="t" fillok="f" o:connecttype="none"/>
            <o:lock v:ext="edit" shapetype="t"/>
          </v:shapetype>
          <v:shape id="_x0000_s1028" type="#_x0000_t32" style="position:absolute;left:0;text-align:left;margin-left:215.95pt;margin-top:2.1pt;width:39pt;height:0;z-index:251662336" o:connectortype="straight"/>
        </w:pict>
      </w:r>
    </w:p>
    <w:p w:rsidR="00297F7D" w:rsidRPr="000D2B40" w:rsidRDefault="00297F7D" w:rsidP="00297F7D">
      <w:pPr>
        <w:spacing w:before="120" w:after="120"/>
        <w:ind w:firstLine="709"/>
        <w:jc w:val="both"/>
        <w:rPr>
          <w:color w:val="auto"/>
          <w:szCs w:val="28"/>
        </w:rPr>
      </w:pPr>
      <w:r w:rsidRPr="000D2B40">
        <w:rPr>
          <w:color w:val="auto"/>
          <w:szCs w:val="28"/>
        </w:rPr>
        <w:t>Thực hiện Nghị quyết số 21/2015/NQ-HĐND ngày 18/12/2015 của Hội đồng nhân dân huyện Sa Thầy khóa IX kỳ họp thứ 11, về dự toán thu chi ngân sách, phương án phân bổ kế hoạch ngân sách năm 2016;</w:t>
      </w:r>
    </w:p>
    <w:p w:rsidR="00297F7D" w:rsidRPr="006D56EA" w:rsidRDefault="00297F7D" w:rsidP="006D56EA">
      <w:pPr>
        <w:spacing w:before="120" w:after="120"/>
        <w:ind w:firstLine="709"/>
        <w:jc w:val="both"/>
        <w:rPr>
          <w:color w:val="auto"/>
          <w:szCs w:val="28"/>
        </w:rPr>
      </w:pPr>
      <w:r w:rsidRPr="006D56EA">
        <w:rPr>
          <w:color w:val="auto"/>
          <w:szCs w:val="28"/>
        </w:rPr>
        <w:t>Trên cơ sở số liệu báo cáo quyết toán ngân sách địa phương năm 2016 đã được ngành chức năng thống nhất xác nhận, UBND huyện tổng hợp báo cáo kết quả thực hiện nhiệm vụ thu, chi ngân sách nhà nước năm 2016, như sau:</w:t>
      </w:r>
    </w:p>
    <w:p w:rsidR="00297F7D" w:rsidRPr="006D56EA" w:rsidRDefault="00297F7D" w:rsidP="006D56EA">
      <w:pPr>
        <w:pStyle w:val="Vnbnnidung30"/>
        <w:shd w:val="clear" w:color="auto" w:fill="auto"/>
        <w:spacing w:before="120" w:after="120" w:line="240" w:lineRule="auto"/>
        <w:ind w:firstLine="709"/>
        <w:jc w:val="both"/>
        <w:rPr>
          <w:rFonts w:ascii="Times New Roman" w:hAnsi="Times New Roman"/>
          <w:sz w:val="28"/>
          <w:szCs w:val="28"/>
        </w:rPr>
      </w:pPr>
      <w:r w:rsidRPr="006D56EA">
        <w:rPr>
          <w:rStyle w:val="Ghichcuitrang10"/>
          <w:rFonts w:ascii="Times New Roman" w:hAnsi="Times New Roman"/>
          <w:sz w:val="28"/>
          <w:szCs w:val="28"/>
        </w:rPr>
        <w:t xml:space="preserve">A. </w:t>
      </w:r>
      <w:r w:rsidRPr="006D56EA">
        <w:rPr>
          <w:rStyle w:val="Vnbnnidung3Gincch0pt"/>
          <w:sz w:val="28"/>
          <w:szCs w:val="28"/>
        </w:rPr>
        <w:t>Phần thu</w:t>
      </w:r>
    </w:p>
    <w:p w:rsidR="00297F7D" w:rsidRPr="006D56EA" w:rsidRDefault="00297F7D" w:rsidP="006D56EA">
      <w:pPr>
        <w:pStyle w:val="Vnbnnidung30"/>
        <w:shd w:val="clear" w:color="auto" w:fill="auto"/>
        <w:spacing w:before="120" w:after="120" w:line="240" w:lineRule="auto"/>
        <w:ind w:firstLine="709"/>
        <w:jc w:val="both"/>
        <w:rPr>
          <w:rFonts w:ascii="Times New Roman" w:hAnsi="Times New Roman"/>
          <w:b w:val="0"/>
          <w:sz w:val="28"/>
          <w:szCs w:val="28"/>
        </w:rPr>
      </w:pPr>
      <w:r w:rsidRPr="006D56EA">
        <w:rPr>
          <w:rStyle w:val="Vnbnnidung3Gincch0pt"/>
          <w:sz w:val="28"/>
          <w:szCs w:val="28"/>
        </w:rPr>
        <w:t>I. Thu ngân sách Nhà nưóc trên địa bàn</w:t>
      </w:r>
    </w:p>
    <w:p w:rsidR="00297F7D" w:rsidRPr="006D56EA" w:rsidRDefault="00297F7D" w:rsidP="006D56EA">
      <w:pPr>
        <w:spacing w:before="120" w:after="120"/>
        <w:ind w:firstLine="709"/>
        <w:jc w:val="both"/>
        <w:rPr>
          <w:color w:val="auto"/>
          <w:szCs w:val="28"/>
        </w:rPr>
      </w:pPr>
      <w:r w:rsidRPr="006D56EA">
        <w:rPr>
          <w:color w:val="auto"/>
          <w:szCs w:val="28"/>
        </w:rPr>
        <w:t xml:space="preserve">Dự toán thu ngân sách nhà nước trên địa bàn năm 2016 Tỉnh giao 60.030 triệu đồng, HĐND huyện giao 65.360 triệu đồng, tăng hơn so Tỉnh giao 5.330 triệu đồng (tăng 8,88%), trong đó: Chi cục Thuế huyện thu Tỉnh giao 18.920 triệu đồng; Kế hoạch huyện giao: 23.920 triệu đồng </w:t>
      </w:r>
      <w:r w:rsidRPr="006D56EA">
        <w:rPr>
          <w:i/>
          <w:color w:val="auto"/>
          <w:szCs w:val="28"/>
        </w:rPr>
        <w:t>(đã trừ số thu thuế VAT và TNDN của Chi nhánh Công ty cổ phần XNK nông sản Vi Na tại Sa Nhơn 15.300 triệu đồng)</w:t>
      </w:r>
      <w:r w:rsidRPr="006D56EA">
        <w:rPr>
          <w:color w:val="auto"/>
          <w:szCs w:val="28"/>
        </w:rPr>
        <w:t>.</w:t>
      </w:r>
    </w:p>
    <w:p w:rsidR="00297F7D" w:rsidRPr="006D56EA" w:rsidRDefault="00297F7D" w:rsidP="006D56EA">
      <w:pPr>
        <w:spacing w:before="120" w:after="120"/>
        <w:ind w:firstLine="709"/>
        <w:jc w:val="both"/>
        <w:rPr>
          <w:color w:val="auto"/>
          <w:szCs w:val="28"/>
        </w:rPr>
      </w:pPr>
      <w:r w:rsidRPr="006D56EA">
        <w:rPr>
          <w:color w:val="auto"/>
          <w:szCs w:val="28"/>
        </w:rPr>
        <w:t xml:space="preserve">Thực hiện thu NSNN trên địa bàn năm 2016 là 81.691 triệu đồng, đạt 136% dự toán Tỉnh giao và 125% dự toán HĐND huyện giao, bằng 93% so với cùng kỳ năm trước; trong đó, phần Chi cục Thuế huyện thu 36.398,17 triệu đồng, đạt 196% dự toán </w:t>
      </w:r>
      <w:r w:rsidRPr="006D56EA">
        <w:rPr>
          <w:rStyle w:val="Ghichcuitrang10"/>
          <w:color w:val="auto"/>
          <w:sz w:val="28"/>
          <w:szCs w:val="28"/>
        </w:rPr>
        <w:t>tỉ</w:t>
      </w:r>
      <w:r w:rsidRPr="006D56EA">
        <w:rPr>
          <w:color w:val="auto"/>
          <w:szCs w:val="28"/>
        </w:rPr>
        <w:t>nh giao và 152 % dự toán HĐND huyện giao.</w:t>
      </w:r>
    </w:p>
    <w:p w:rsidR="00297F7D" w:rsidRPr="006D56EA" w:rsidRDefault="00297F7D" w:rsidP="006D56EA">
      <w:pPr>
        <w:spacing w:before="120" w:after="120"/>
        <w:ind w:firstLine="709"/>
        <w:jc w:val="both"/>
        <w:rPr>
          <w:color w:val="auto"/>
          <w:szCs w:val="28"/>
        </w:rPr>
      </w:pPr>
      <w:r w:rsidRPr="006D56EA">
        <w:rPr>
          <w:color w:val="auto"/>
          <w:szCs w:val="28"/>
        </w:rPr>
        <w:t>Tình hình thực hiện một số khoản thu, chi chủ yếu như sau:</w:t>
      </w:r>
    </w:p>
    <w:p w:rsidR="00297F7D" w:rsidRPr="006D56EA" w:rsidRDefault="00297F7D" w:rsidP="006D56EA">
      <w:pPr>
        <w:spacing w:before="120" w:after="120"/>
        <w:ind w:firstLine="709"/>
        <w:jc w:val="both"/>
        <w:rPr>
          <w:rStyle w:val="Ghichcuitrang10"/>
          <w:b/>
          <w:color w:val="auto"/>
          <w:sz w:val="28"/>
          <w:szCs w:val="28"/>
        </w:rPr>
      </w:pPr>
      <w:r w:rsidRPr="006D56EA">
        <w:rPr>
          <w:rStyle w:val="Ghichcuitrang10"/>
          <w:b/>
          <w:color w:val="auto"/>
          <w:sz w:val="28"/>
          <w:szCs w:val="28"/>
        </w:rPr>
        <w:t>1. Thu từ Doanh nghiệp Nhà nưóc Trung ương</w:t>
      </w:r>
    </w:p>
    <w:p w:rsidR="00297F7D" w:rsidRPr="006D56EA" w:rsidRDefault="00297F7D" w:rsidP="006D56EA">
      <w:pPr>
        <w:spacing w:before="120" w:after="120"/>
        <w:ind w:firstLine="709"/>
        <w:jc w:val="both"/>
        <w:rPr>
          <w:color w:val="auto"/>
          <w:szCs w:val="28"/>
        </w:rPr>
      </w:pPr>
      <w:r w:rsidRPr="006D56EA">
        <w:rPr>
          <w:color w:val="auto"/>
          <w:szCs w:val="28"/>
        </w:rPr>
        <w:t>Thực hiện thu năm 2016 là 5.116,7 triệu đồng, đạt 1.599% tỉnh và huyện giao; bằng 546% so với cùng kỳ.</w:t>
      </w:r>
    </w:p>
    <w:p w:rsidR="00297F7D" w:rsidRPr="006D56EA" w:rsidRDefault="00297F7D" w:rsidP="006D56EA">
      <w:pPr>
        <w:spacing w:before="120" w:after="120"/>
        <w:ind w:firstLine="709"/>
        <w:jc w:val="both"/>
        <w:rPr>
          <w:rStyle w:val="Ghichcuitrang10"/>
          <w:b/>
          <w:color w:val="auto"/>
          <w:sz w:val="28"/>
          <w:szCs w:val="28"/>
        </w:rPr>
      </w:pPr>
      <w:r w:rsidRPr="006D56EA">
        <w:rPr>
          <w:rStyle w:val="Ghichcuitrang10"/>
          <w:b/>
          <w:color w:val="auto"/>
          <w:sz w:val="28"/>
          <w:szCs w:val="28"/>
        </w:rPr>
        <w:t>2. Thu từ Doanh nghiệp Nhà nước địa phương</w:t>
      </w:r>
    </w:p>
    <w:p w:rsidR="00297F7D" w:rsidRPr="006D56EA" w:rsidRDefault="00297F7D" w:rsidP="006D56EA">
      <w:pPr>
        <w:spacing w:before="120" w:after="120"/>
        <w:ind w:firstLine="709"/>
        <w:jc w:val="both"/>
        <w:rPr>
          <w:color w:val="auto"/>
          <w:szCs w:val="28"/>
        </w:rPr>
      </w:pPr>
      <w:r w:rsidRPr="006D56EA">
        <w:rPr>
          <w:color w:val="auto"/>
          <w:szCs w:val="28"/>
        </w:rPr>
        <w:t>Thực hiện năm 2016 là 517,6 triệu dồng, đạt 86% so dự toán tỉnh giao và huyện giao; bằng 105% so với cùng kỳ.</w:t>
      </w:r>
    </w:p>
    <w:p w:rsidR="00297F7D" w:rsidRPr="006D56EA" w:rsidRDefault="00297F7D" w:rsidP="006D56EA">
      <w:pPr>
        <w:spacing w:before="120" w:after="120"/>
        <w:ind w:firstLine="709"/>
        <w:jc w:val="both"/>
        <w:rPr>
          <w:rStyle w:val="Ghichcuitrang10"/>
          <w:b/>
          <w:color w:val="auto"/>
          <w:sz w:val="28"/>
          <w:szCs w:val="28"/>
        </w:rPr>
      </w:pPr>
      <w:r w:rsidRPr="006D56EA">
        <w:rPr>
          <w:b/>
          <w:color w:val="auto"/>
          <w:szCs w:val="28"/>
        </w:rPr>
        <w:t xml:space="preserve">3. </w:t>
      </w:r>
      <w:r w:rsidRPr="006D56EA">
        <w:rPr>
          <w:rStyle w:val="Ghichcuitrang10"/>
          <w:b/>
          <w:color w:val="auto"/>
          <w:sz w:val="28"/>
          <w:szCs w:val="28"/>
        </w:rPr>
        <w:t>Thu từ thành phần kinh tế công thương nghiệp và dịch vụ ngoài quốc doanh</w:t>
      </w:r>
    </w:p>
    <w:p w:rsidR="00297F7D" w:rsidRPr="006D56EA" w:rsidRDefault="00297F7D" w:rsidP="006D56EA">
      <w:pPr>
        <w:spacing w:before="120" w:after="120"/>
        <w:ind w:firstLine="709"/>
        <w:jc w:val="both"/>
        <w:rPr>
          <w:color w:val="auto"/>
          <w:szCs w:val="28"/>
        </w:rPr>
      </w:pPr>
      <w:r w:rsidRPr="006D56EA">
        <w:rPr>
          <w:rStyle w:val="Ghichcuitrang10"/>
          <w:color w:val="auto"/>
          <w:sz w:val="28"/>
          <w:szCs w:val="28"/>
        </w:rPr>
        <w:t xml:space="preserve"> </w:t>
      </w:r>
      <w:r w:rsidRPr="006D56EA">
        <w:rPr>
          <w:color w:val="auto"/>
          <w:szCs w:val="28"/>
        </w:rPr>
        <w:t>Thực hiện năm 2016 là 54.793 triệu đồng, đạt 105</w:t>
      </w:r>
      <w:r w:rsidRPr="006D56EA">
        <w:rPr>
          <w:rStyle w:val="Vnbnnidung5Innghing"/>
          <w:color w:val="auto"/>
        </w:rPr>
        <w:t>%</w:t>
      </w:r>
      <w:r w:rsidRPr="006D56EA">
        <w:rPr>
          <w:color w:val="auto"/>
          <w:szCs w:val="28"/>
        </w:rPr>
        <w:t xml:space="preserve"> dự toán tỉnh và 101% huyện giao; bằng 81% so với cùng kỳ, trong đó phần Chi cục Thuế huyện thu 15.357,84 triệu đồng, đạt 133% dự toán tỉnh giao và 112% dự toán IIĐND huyện giao.</w:t>
      </w:r>
    </w:p>
    <w:p w:rsidR="00297F7D" w:rsidRPr="006D56EA" w:rsidRDefault="00297F7D" w:rsidP="006D56EA">
      <w:pPr>
        <w:spacing w:before="120" w:after="120"/>
        <w:ind w:firstLine="709"/>
        <w:jc w:val="both"/>
        <w:rPr>
          <w:rStyle w:val="Ghichcuitrang10"/>
          <w:b/>
          <w:color w:val="auto"/>
          <w:sz w:val="28"/>
          <w:szCs w:val="28"/>
        </w:rPr>
      </w:pPr>
      <w:r w:rsidRPr="006D56EA">
        <w:rPr>
          <w:b/>
          <w:color w:val="auto"/>
          <w:szCs w:val="28"/>
        </w:rPr>
        <w:t xml:space="preserve">4. </w:t>
      </w:r>
      <w:r w:rsidRPr="006D56EA">
        <w:rPr>
          <w:rStyle w:val="Ghichcuitrang10"/>
          <w:b/>
          <w:color w:val="auto"/>
          <w:sz w:val="28"/>
          <w:szCs w:val="28"/>
        </w:rPr>
        <w:t xml:space="preserve">Thu tiền </w:t>
      </w:r>
      <w:r w:rsidRPr="006D56EA">
        <w:rPr>
          <w:b/>
          <w:color w:val="auto"/>
          <w:szCs w:val="28"/>
        </w:rPr>
        <w:t xml:space="preserve">sử </w:t>
      </w:r>
      <w:r w:rsidRPr="006D56EA">
        <w:rPr>
          <w:rStyle w:val="Ghichcuitrang10"/>
          <w:b/>
          <w:color w:val="auto"/>
          <w:sz w:val="28"/>
          <w:szCs w:val="28"/>
        </w:rPr>
        <w:t>dụng đất</w:t>
      </w:r>
    </w:p>
    <w:p w:rsidR="00297F7D" w:rsidRPr="006D56EA" w:rsidRDefault="00297F7D" w:rsidP="006D56EA">
      <w:pPr>
        <w:spacing w:before="120" w:after="120"/>
        <w:ind w:firstLine="709"/>
        <w:jc w:val="both"/>
        <w:rPr>
          <w:color w:val="auto"/>
          <w:szCs w:val="28"/>
        </w:rPr>
      </w:pPr>
      <w:r w:rsidRPr="006D56EA">
        <w:rPr>
          <w:color w:val="auto"/>
          <w:szCs w:val="28"/>
        </w:rPr>
        <w:lastRenderedPageBreak/>
        <w:t>Thực hiện năm 2016 là 13.003,97 triệu đồng, đạt 650% dự toán tỉnh giao và 289</w:t>
      </w:r>
      <w:r w:rsidRPr="006D56EA">
        <w:rPr>
          <w:rStyle w:val="Vnbnnidung5Innghing"/>
          <w:color w:val="auto"/>
        </w:rPr>
        <w:t>%</w:t>
      </w:r>
      <w:r w:rsidRPr="006D56EA">
        <w:rPr>
          <w:color w:val="auto"/>
          <w:szCs w:val="28"/>
        </w:rPr>
        <w:t xml:space="preserve"> dự toán huyện giao; bằng 122% so với cùng kỳ.</w:t>
      </w:r>
    </w:p>
    <w:p w:rsidR="00297F7D" w:rsidRPr="006D56EA" w:rsidRDefault="00297F7D" w:rsidP="006D56EA">
      <w:pPr>
        <w:spacing w:before="120" w:after="120"/>
        <w:ind w:firstLine="709"/>
        <w:jc w:val="both"/>
        <w:rPr>
          <w:rStyle w:val="Ghichcuitrang10"/>
          <w:b/>
          <w:color w:val="auto"/>
          <w:sz w:val="28"/>
          <w:szCs w:val="28"/>
        </w:rPr>
      </w:pPr>
      <w:r w:rsidRPr="006D56EA">
        <w:rPr>
          <w:b/>
          <w:color w:val="auto"/>
          <w:szCs w:val="28"/>
        </w:rPr>
        <w:t xml:space="preserve">5. </w:t>
      </w:r>
      <w:r w:rsidRPr="006D56EA">
        <w:rPr>
          <w:rStyle w:val="Ghichcuitrang10"/>
          <w:b/>
          <w:color w:val="auto"/>
          <w:sz w:val="28"/>
          <w:szCs w:val="28"/>
        </w:rPr>
        <w:t>Thuế thu nhập cá nhân</w:t>
      </w:r>
    </w:p>
    <w:p w:rsidR="00297F7D" w:rsidRPr="006D56EA" w:rsidRDefault="00297F7D" w:rsidP="006D56EA">
      <w:pPr>
        <w:spacing w:before="120" w:after="120"/>
        <w:ind w:firstLine="709"/>
        <w:jc w:val="both"/>
        <w:rPr>
          <w:color w:val="auto"/>
          <w:szCs w:val="28"/>
        </w:rPr>
      </w:pPr>
      <w:r w:rsidRPr="006D56EA">
        <w:rPr>
          <w:color w:val="auto"/>
          <w:szCs w:val="28"/>
        </w:rPr>
        <w:t>Thực hiện năm 2016 là 2.741,18 triệu đồng, đạt 182% dự toán tỉnh giao và 177% huyện giao; bằng 153% so với cùng kỳ.</w:t>
      </w:r>
    </w:p>
    <w:p w:rsidR="00297F7D" w:rsidRPr="006D56EA" w:rsidRDefault="00297F7D" w:rsidP="006D56EA">
      <w:pPr>
        <w:spacing w:before="120" w:after="120"/>
        <w:ind w:firstLine="709"/>
        <w:jc w:val="both"/>
        <w:rPr>
          <w:rStyle w:val="Ghichcuitrang10"/>
          <w:b/>
          <w:color w:val="auto"/>
          <w:sz w:val="28"/>
          <w:szCs w:val="28"/>
        </w:rPr>
      </w:pPr>
      <w:r w:rsidRPr="006D56EA">
        <w:rPr>
          <w:b/>
          <w:color w:val="auto"/>
          <w:szCs w:val="28"/>
        </w:rPr>
        <w:t xml:space="preserve">6. </w:t>
      </w:r>
      <w:r w:rsidRPr="006D56EA">
        <w:rPr>
          <w:rStyle w:val="Ghichcuitrang10"/>
          <w:b/>
          <w:color w:val="auto"/>
          <w:sz w:val="28"/>
          <w:szCs w:val="28"/>
        </w:rPr>
        <w:t>Lệ phí trước bạ</w:t>
      </w:r>
    </w:p>
    <w:p w:rsidR="00297F7D" w:rsidRPr="006D56EA" w:rsidRDefault="00297F7D" w:rsidP="006D56EA">
      <w:pPr>
        <w:spacing w:before="120" w:after="120"/>
        <w:ind w:firstLine="709"/>
        <w:jc w:val="both"/>
        <w:rPr>
          <w:color w:val="auto"/>
          <w:szCs w:val="28"/>
        </w:rPr>
      </w:pPr>
      <w:r w:rsidRPr="006D56EA">
        <w:rPr>
          <w:color w:val="auto"/>
          <w:szCs w:val="28"/>
        </w:rPr>
        <w:t>Thực hiện năm 2016 là 2.027,69 triệu đồng, đạt 137% dự toán tỉnh giao và 129% huyện giao; bằng 117% so với cùng kỳ.</w:t>
      </w:r>
    </w:p>
    <w:p w:rsidR="00297F7D" w:rsidRPr="006D56EA" w:rsidRDefault="00297F7D" w:rsidP="006D56EA">
      <w:pPr>
        <w:spacing w:before="120" w:after="120"/>
        <w:ind w:firstLine="709"/>
        <w:jc w:val="both"/>
        <w:rPr>
          <w:b/>
          <w:color w:val="auto"/>
          <w:szCs w:val="28"/>
        </w:rPr>
      </w:pPr>
      <w:r w:rsidRPr="006D56EA">
        <w:rPr>
          <w:b/>
          <w:color w:val="auto"/>
          <w:szCs w:val="28"/>
        </w:rPr>
        <w:t>7. Các loại phí và lệ phí</w:t>
      </w:r>
    </w:p>
    <w:p w:rsidR="00297F7D" w:rsidRPr="006D56EA" w:rsidRDefault="00297F7D" w:rsidP="006D56EA">
      <w:pPr>
        <w:spacing w:before="120" w:after="120"/>
        <w:ind w:firstLine="709"/>
        <w:jc w:val="both"/>
        <w:rPr>
          <w:color w:val="auto"/>
          <w:szCs w:val="28"/>
        </w:rPr>
      </w:pPr>
      <w:r w:rsidRPr="006D56EA">
        <w:rPr>
          <w:color w:val="auto"/>
          <w:szCs w:val="28"/>
        </w:rPr>
        <w:t>Thực hiện năm 2016 là 1.054,872 triệu đồng, đạt 151% dự toán tỉnh giao và 141% huyện giao; bằng 50% so với cùng kỳ.</w:t>
      </w:r>
    </w:p>
    <w:p w:rsidR="00297F7D" w:rsidRPr="006D56EA" w:rsidRDefault="00297F7D" w:rsidP="006D56EA">
      <w:pPr>
        <w:spacing w:before="120" w:after="120"/>
        <w:ind w:firstLine="709"/>
        <w:jc w:val="both"/>
        <w:rPr>
          <w:b/>
          <w:color w:val="auto"/>
          <w:szCs w:val="28"/>
        </w:rPr>
      </w:pPr>
      <w:r w:rsidRPr="006D56EA">
        <w:rPr>
          <w:b/>
          <w:color w:val="auto"/>
          <w:szCs w:val="28"/>
        </w:rPr>
        <w:t>8. Các khoản thu khác còn lại</w:t>
      </w:r>
    </w:p>
    <w:p w:rsidR="00297F7D" w:rsidRPr="006D56EA" w:rsidRDefault="00297F7D" w:rsidP="006D56EA">
      <w:pPr>
        <w:spacing w:before="120" w:after="120"/>
        <w:ind w:firstLine="709"/>
        <w:jc w:val="both"/>
        <w:rPr>
          <w:color w:val="auto"/>
          <w:szCs w:val="28"/>
        </w:rPr>
      </w:pPr>
      <w:r w:rsidRPr="006D56EA">
        <w:rPr>
          <w:color w:val="auto"/>
          <w:szCs w:val="28"/>
        </w:rPr>
        <w:t>Các khoản thu này thực hiện năm 2016 là 2.436,29 triệu đồng, đạt 193</w:t>
      </w:r>
      <w:r w:rsidRPr="006D56EA">
        <w:rPr>
          <w:rStyle w:val="Vnbnnidung2Innghing"/>
          <w:color w:val="auto"/>
        </w:rPr>
        <w:t>%</w:t>
      </w:r>
      <w:r w:rsidRPr="006D56EA">
        <w:rPr>
          <w:color w:val="auto"/>
          <w:szCs w:val="28"/>
        </w:rPr>
        <w:t xml:space="preserve"> so với dự toán tỉnh giao và 146% huyện giao; bằng 96% so cùng kỳ.</w:t>
      </w:r>
    </w:p>
    <w:p w:rsidR="00297F7D" w:rsidRPr="006D56EA" w:rsidRDefault="00297F7D" w:rsidP="006D56EA">
      <w:pPr>
        <w:spacing w:before="120" w:after="120"/>
        <w:ind w:firstLine="709"/>
        <w:jc w:val="both"/>
        <w:rPr>
          <w:color w:val="auto"/>
          <w:szCs w:val="28"/>
        </w:rPr>
      </w:pPr>
      <w:r w:rsidRPr="006D56EA">
        <w:rPr>
          <w:color w:val="auto"/>
          <w:szCs w:val="28"/>
        </w:rPr>
        <w:t>Qua số liệu Quyết toán ngân sách năm 2016 cho thấy số thu trên địa bàn vượt dự toán so tỉnh giao 21.661,45 triệu đồng, tăng 36%; vượt dự toán HĐND huyện giao 16.351,45 triệu đồng, tăng 25%.</w:t>
      </w:r>
    </w:p>
    <w:p w:rsidR="00297F7D" w:rsidRPr="006D56EA" w:rsidRDefault="00297F7D" w:rsidP="006D56EA">
      <w:pPr>
        <w:spacing w:before="120" w:after="120"/>
        <w:ind w:firstLine="709"/>
        <w:jc w:val="both"/>
        <w:rPr>
          <w:b/>
          <w:color w:val="auto"/>
          <w:szCs w:val="28"/>
        </w:rPr>
      </w:pPr>
      <w:r w:rsidRPr="006D56EA">
        <w:rPr>
          <w:b/>
          <w:color w:val="auto"/>
          <w:szCs w:val="28"/>
        </w:rPr>
        <w:t>II. Thu ngân sách huyện</w:t>
      </w:r>
    </w:p>
    <w:p w:rsidR="00297F7D" w:rsidRPr="006D56EA" w:rsidRDefault="00297F7D" w:rsidP="006D56EA">
      <w:pPr>
        <w:spacing w:before="120" w:after="120"/>
        <w:ind w:firstLine="709"/>
        <w:jc w:val="both"/>
        <w:rPr>
          <w:color w:val="auto"/>
          <w:szCs w:val="28"/>
        </w:rPr>
      </w:pPr>
      <w:r w:rsidRPr="006D56EA">
        <w:rPr>
          <w:color w:val="auto"/>
          <w:szCs w:val="28"/>
        </w:rPr>
        <w:t>Tổng thu ngân sách huyện HĐND giao đầu năm là: 229.399 triệu đồng; trong đó, thu bổ sung cân đối 139.927 triệu đồng; bổ sung mục tiêu 24.265 triệu đồng; thu ngân sách huyện hưởng theo phân cấp 62.044 triệu đồng; chuyển nguồn tăng thu thực hiện cải cách tiền lương 2.763 triệu đồng; các khoản ghi thu, ghi chi 400 triệu đồng.</w:t>
      </w:r>
    </w:p>
    <w:p w:rsidR="00297F7D" w:rsidRPr="006D56EA" w:rsidRDefault="00297F7D" w:rsidP="006D56EA">
      <w:pPr>
        <w:spacing w:before="120" w:after="120"/>
        <w:ind w:firstLine="709"/>
        <w:jc w:val="both"/>
        <w:rPr>
          <w:color w:val="auto"/>
          <w:szCs w:val="28"/>
        </w:rPr>
      </w:pPr>
      <w:r w:rsidRPr="006D56EA">
        <w:rPr>
          <w:color w:val="auto"/>
          <w:szCs w:val="28"/>
        </w:rPr>
        <w:t>Quyết toán thu ngân sách huyện năm 2016 là 321.150,53 triệu đồng, đạt 140% dự toán. Trong đó, thu trên địa bàn ngân sách huyện hưởng đạt 69.641 triệu đồng, tăng 12% dự toán huyện giao; thu bổ sung ngân sách 200.314,84 triệu đồng, tăng 22% so dự toán, thu chuyển nguồn 36.877,51 triệu đồng, thu kết dư ngân sách 12.752,19 triệu đồng, thu từ ngân sách cấp dưới nộp lên 1.022,86 triệu đồng.</w:t>
      </w:r>
    </w:p>
    <w:p w:rsidR="00297F7D" w:rsidRPr="006D56EA" w:rsidRDefault="00297F7D" w:rsidP="006D56EA">
      <w:pPr>
        <w:spacing w:before="120" w:after="120"/>
        <w:ind w:firstLine="709"/>
        <w:jc w:val="both"/>
        <w:rPr>
          <w:b/>
          <w:color w:val="auto"/>
          <w:szCs w:val="28"/>
        </w:rPr>
      </w:pPr>
      <w:r w:rsidRPr="006D56EA">
        <w:rPr>
          <w:b/>
          <w:color w:val="auto"/>
          <w:szCs w:val="28"/>
        </w:rPr>
        <w:t>B. Về chi ngân sách</w:t>
      </w:r>
    </w:p>
    <w:p w:rsidR="00297F7D" w:rsidRPr="006D56EA" w:rsidRDefault="00297F7D" w:rsidP="006D56EA">
      <w:pPr>
        <w:spacing w:before="120" w:after="120"/>
        <w:ind w:firstLine="709"/>
        <w:jc w:val="both"/>
        <w:rPr>
          <w:color w:val="auto"/>
          <w:szCs w:val="28"/>
        </w:rPr>
      </w:pPr>
      <w:r w:rsidRPr="006D56EA">
        <w:rPr>
          <w:color w:val="auto"/>
          <w:szCs w:val="28"/>
        </w:rPr>
        <w:t>Dự toán chi ngân sách tỉnh giao đầu năm 225.069 triệu đồng, dự toán UBND tỉnh giao có điều chỉnh bổ sung trong năm 258.428,84 triệu đồng; dự toán huyện giao đầu năm 229.399 triệu đồng, dự toán HĐND huyện giao có điều chỉnh bổ sung: 321.150,53 triệu đồng, trong đó: chi chuyển nguồn năm 2015 chuyển sang năm 2016 là: 36.876,52 triệu đồng; bổ sung từ ngân sách cấp tỉnh là 200.314,84 triệu đồng; chi nguồn kết dư ngân sách 12.752,19 triệu đồng; còn lại cân đối chi từ nguồn thu điều tiết ngân sách, ghi thu, ghi chi: 71.206,99 triệu đồng.</w:t>
      </w:r>
    </w:p>
    <w:p w:rsidR="00297F7D" w:rsidRPr="006D56EA" w:rsidRDefault="00297F7D" w:rsidP="006D56EA">
      <w:pPr>
        <w:spacing w:before="120" w:after="120"/>
        <w:ind w:firstLine="709"/>
        <w:jc w:val="both"/>
        <w:rPr>
          <w:color w:val="auto"/>
          <w:szCs w:val="28"/>
        </w:rPr>
      </w:pPr>
      <w:r w:rsidRPr="006D56EA">
        <w:rPr>
          <w:color w:val="auto"/>
          <w:szCs w:val="28"/>
        </w:rPr>
        <w:t>Quyết toán chi ngân sách huyện 307.178,8 triệu đồng, đạt 136% dự toán tỉnh giao và 134% dự toán HĐND huyện giao đầu năm.</w:t>
      </w:r>
    </w:p>
    <w:p w:rsidR="00297F7D" w:rsidRPr="006D56EA" w:rsidRDefault="00297F7D" w:rsidP="006D56EA">
      <w:pPr>
        <w:spacing w:before="120" w:after="120"/>
        <w:ind w:firstLine="709"/>
        <w:jc w:val="both"/>
        <w:rPr>
          <w:color w:val="auto"/>
          <w:szCs w:val="28"/>
        </w:rPr>
      </w:pPr>
      <w:r w:rsidRPr="006D56EA">
        <w:rPr>
          <w:b/>
          <w:color w:val="auto"/>
          <w:szCs w:val="28"/>
        </w:rPr>
        <w:lastRenderedPageBreak/>
        <w:t>* Nguyên nhân:</w:t>
      </w:r>
      <w:r w:rsidRPr="006D56EA">
        <w:rPr>
          <w:color w:val="auto"/>
          <w:szCs w:val="28"/>
        </w:rPr>
        <w:t xml:space="preserve"> Chi vượt dự toán so với đầu năm giao là do trong năm UBND tỉnh bổ sung các chương trình mục tiêu, nhiệm vụ phát sinh, số tiền: 43.300,844 triệu đồng; trong đó, bổ sung kinh phí bầu cử 901 triệu đồng; khắc phục hạn hán vụ đông xuân 2015-2016 là 3.800 triệu đồng; chính sách ĐCĐC theo Quyết định 33/QĐ-CP là 1.280 triệu đồng; chính sách giáo dục 6.099,9 triệu đồng; Chương trình MTQG giảm nghèo bền vững, MTQG XDNTM, huyện nghèo theo Quyết định 293/QĐ-CP là 15.380 triệu đồng; chế độ nghỉ hưu 1.971,744 triệu đồng; Kinh phí bảo trợ xã hội 2.032 triệu đồng; Kinh phí thực hiện cải cách tiên lương 9.323 triệu đồng; Kinh phí an ninh, quốc phòng 1.820 triệu đồng; các chính sách khác 693,2 triệu đồng; Nhiệm vụ chi chuyển nguồn năm 2015 sang năm 2016 là 36.876,5 triệu đồng; Chi từ nguồn kết dư 12.752,19 triệu đồng và nguồn tăng thu trong năm...</w:t>
      </w:r>
    </w:p>
    <w:p w:rsidR="00297F7D" w:rsidRPr="006D56EA" w:rsidRDefault="00297F7D" w:rsidP="006D56EA">
      <w:pPr>
        <w:pStyle w:val="Vnbnnidung260"/>
        <w:shd w:val="clear" w:color="auto" w:fill="auto"/>
        <w:spacing w:before="120" w:after="120" w:line="240" w:lineRule="auto"/>
        <w:ind w:firstLine="709"/>
        <w:jc w:val="center"/>
        <w:rPr>
          <w:rFonts w:ascii="Times New Roman" w:hAnsi="Times New Roman"/>
          <w:sz w:val="28"/>
        </w:rPr>
      </w:pPr>
      <w:r w:rsidRPr="006D56EA">
        <w:rPr>
          <w:rFonts w:ascii="Times New Roman" w:hAnsi="Times New Roman"/>
          <w:sz w:val="28"/>
        </w:rPr>
        <w:t>(Số liệu chi tiết kèm theo phụ lục số 2/NS-2016)</w:t>
      </w:r>
    </w:p>
    <w:p w:rsidR="00297F7D" w:rsidRPr="006D56EA" w:rsidRDefault="00297F7D" w:rsidP="006D56EA">
      <w:pPr>
        <w:pStyle w:val="Vnbnnidung260"/>
        <w:shd w:val="clear" w:color="auto" w:fill="auto"/>
        <w:spacing w:before="120" w:after="120" w:line="240" w:lineRule="auto"/>
        <w:ind w:firstLine="709"/>
        <w:rPr>
          <w:rFonts w:ascii="Times New Roman" w:hAnsi="Times New Roman"/>
          <w:b/>
          <w:i w:val="0"/>
          <w:sz w:val="28"/>
        </w:rPr>
      </w:pPr>
      <w:r w:rsidRPr="006D56EA">
        <w:rPr>
          <w:rFonts w:ascii="Times New Roman" w:hAnsi="Times New Roman"/>
          <w:b/>
          <w:i w:val="0"/>
          <w:sz w:val="28"/>
        </w:rPr>
        <w:t>1. Chi đầu tư phát triển</w:t>
      </w:r>
    </w:p>
    <w:p w:rsidR="00297F7D" w:rsidRPr="006D56EA" w:rsidRDefault="00297F7D" w:rsidP="006D56EA">
      <w:pPr>
        <w:pStyle w:val="Vnbnnidung260"/>
        <w:shd w:val="clear" w:color="auto" w:fill="auto"/>
        <w:spacing w:before="120" w:after="120" w:line="240" w:lineRule="auto"/>
        <w:ind w:firstLine="709"/>
        <w:rPr>
          <w:rStyle w:val="Vnbnnidung2Innghing"/>
        </w:rPr>
      </w:pPr>
      <w:r w:rsidRPr="006D56EA">
        <w:rPr>
          <w:rFonts w:ascii="Times New Roman" w:hAnsi="Times New Roman"/>
          <w:i w:val="0"/>
          <w:sz w:val="28"/>
        </w:rPr>
        <w:t xml:space="preserve">Thực hiện năm 2016 là 38.954,61 triệu đồng, đạt 209% dự toán tỉnh giao; 181% so dự toán huyện giao và đạt 86% nhiệm vụ chi, bằng 65% so cùng kỳ. </w:t>
      </w:r>
      <w:r w:rsidRPr="006D56EA">
        <w:rPr>
          <w:rStyle w:val="Vnbnnidung2Innghing"/>
        </w:rPr>
        <w:t>Trong đó:</w:t>
      </w:r>
    </w:p>
    <w:p w:rsidR="00297F7D" w:rsidRPr="006D56EA" w:rsidRDefault="00297F7D" w:rsidP="006D56EA">
      <w:pPr>
        <w:pStyle w:val="Vnbnnidung260"/>
        <w:shd w:val="clear" w:color="auto" w:fill="auto"/>
        <w:spacing w:before="120" w:after="120" w:line="240" w:lineRule="auto"/>
        <w:ind w:firstLine="709"/>
        <w:rPr>
          <w:rFonts w:ascii="Times New Roman" w:hAnsi="Times New Roman"/>
          <w:i w:val="0"/>
          <w:sz w:val="28"/>
        </w:rPr>
      </w:pPr>
      <w:r w:rsidRPr="006D56EA">
        <w:rPr>
          <w:rFonts w:ascii="Times New Roman" w:hAnsi="Times New Roman"/>
          <w:i w:val="0"/>
          <w:sz w:val="28"/>
        </w:rPr>
        <w:t>- Chi nguồn vốn XDCB tập trung phân cấp: thực hiện 4.765,82 triệu đồng, đạt 104% dự toán và 97% nhiệm vụ chi.</w:t>
      </w:r>
    </w:p>
    <w:p w:rsidR="00297F7D" w:rsidRPr="006D56EA" w:rsidRDefault="00297F7D" w:rsidP="006D56EA">
      <w:pPr>
        <w:pStyle w:val="Vnbnnidung260"/>
        <w:shd w:val="clear" w:color="auto" w:fill="auto"/>
        <w:spacing w:before="120" w:after="120" w:line="240" w:lineRule="auto"/>
        <w:ind w:firstLine="709"/>
        <w:rPr>
          <w:rFonts w:ascii="Times New Roman" w:hAnsi="Times New Roman"/>
          <w:i w:val="0"/>
          <w:sz w:val="28"/>
        </w:rPr>
      </w:pPr>
      <w:r w:rsidRPr="006D56EA">
        <w:rPr>
          <w:rFonts w:ascii="Times New Roman" w:hAnsi="Times New Roman"/>
          <w:i w:val="0"/>
          <w:sz w:val="28"/>
        </w:rPr>
        <w:t>- Chi đầu tư từ nguồn thu sử dụng đất: thực hiện 4.045,45 triệu đồng, đạt 337</w:t>
      </w:r>
      <w:r w:rsidRPr="006D56EA">
        <w:rPr>
          <w:rStyle w:val="Vnbnnidung2Innghing"/>
        </w:rPr>
        <w:t xml:space="preserve">% </w:t>
      </w:r>
      <w:r w:rsidRPr="006D56EA">
        <w:rPr>
          <w:rFonts w:ascii="Times New Roman" w:hAnsi="Times New Roman"/>
          <w:i w:val="0"/>
          <w:sz w:val="28"/>
        </w:rPr>
        <w:t>dự toán tỉnh giao; 150% dự toán huyện giao và đạt 63% nhiệm vụ chi.</w:t>
      </w:r>
    </w:p>
    <w:p w:rsidR="00297F7D" w:rsidRPr="006D56EA" w:rsidRDefault="00297F7D" w:rsidP="006D56EA">
      <w:pPr>
        <w:pStyle w:val="Vnbnnidung260"/>
        <w:shd w:val="clear" w:color="auto" w:fill="auto"/>
        <w:spacing w:before="120" w:after="120" w:line="240" w:lineRule="auto"/>
        <w:ind w:firstLine="709"/>
        <w:rPr>
          <w:rFonts w:ascii="Times New Roman" w:hAnsi="Times New Roman"/>
          <w:i w:val="0"/>
          <w:sz w:val="28"/>
        </w:rPr>
      </w:pPr>
      <w:r w:rsidRPr="006D56EA">
        <w:rPr>
          <w:rFonts w:ascii="Times New Roman" w:hAnsi="Times New Roman"/>
          <w:i w:val="0"/>
          <w:sz w:val="28"/>
        </w:rPr>
        <w:t>- Chi từ nguồn vốn các chương trình mục tiêu Quốc gia NTM, MTQG giảm nghèo chương trình 135: thực hiện 7.001,77 triệu đồng, đạt 92.89% nhiệm vụ chi.</w:t>
      </w:r>
    </w:p>
    <w:p w:rsidR="00297F7D" w:rsidRPr="006D56EA" w:rsidRDefault="00297F7D" w:rsidP="006D56EA">
      <w:pPr>
        <w:pStyle w:val="Vnbnnidung260"/>
        <w:shd w:val="clear" w:color="auto" w:fill="auto"/>
        <w:spacing w:before="120" w:after="120" w:line="240" w:lineRule="auto"/>
        <w:ind w:firstLine="709"/>
        <w:rPr>
          <w:rFonts w:ascii="Times New Roman" w:hAnsi="Times New Roman"/>
          <w:i w:val="0"/>
          <w:sz w:val="28"/>
        </w:rPr>
      </w:pPr>
      <w:r w:rsidRPr="006D56EA">
        <w:rPr>
          <w:rFonts w:ascii="Times New Roman" w:hAnsi="Times New Roman"/>
          <w:i w:val="0"/>
          <w:sz w:val="28"/>
        </w:rPr>
        <w:t>- Nguồn vốn vay kiên cố hóa kênh mương giao thông nông thôn, thực hiện 968,81 triệu đồng, đạt 62% nhiệm vụ chi.</w:t>
      </w:r>
    </w:p>
    <w:p w:rsidR="00297F7D" w:rsidRPr="006D56EA" w:rsidRDefault="00297F7D" w:rsidP="006D56EA">
      <w:pPr>
        <w:pStyle w:val="Vnbnnidung260"/>
        <w:shd w:val="clear" w:color="auto" w:fill="auto"/>
        <w:spacing w:before="120" w:after="120" w:line="240" w:lineRule="auto"/>
        <w:ind w:firstLine="709"/>
        <w:rPr>
          <w:rFonts w:ascii="Times New Roman" w:hAnsi="Times New Roman"/>
          <w:i w:val="0"/>
          <w:sz w:val="28"/>
        </w:rPr>
      </w:pPr>
      <w:r w:rsidRPr="006D56EA">
        <w:rPr>
          <w:rFonts w:ascii="Times New Roman" w:hAnsi="Times New Roman"/>
          <w:i w:val="0"/>
          <w:sz w:val="28"/>
        </w:rPr>
        <w:t>- Nguồn xổ số kiến thiết: thực hiện 2.314,12 triệu đồng, đạt 116% dự toán và đạt 100 nhiệm vụ chi.</w:t>
      </w:r>
    </w:p>
    <w:p w:rsidR="00297F7D" w:rsidRPr="006D56EA" w:rsidRDefault="00297F7D" w:rsidP="006D56EA">
      <w:pPr>
        <w:pStyle w:val="Vnbnnidung260"/>
        <w:shd w:val="clear" w:color="auto" w:fill="auto"/>
        <w:spacing w:before="120" w:after="120" w:line="240" w:lineRule="auto"/>
        <w:ind w:firstLine="709"/>
        <w:rPr>
          <w:rFonts w:ascii="Times New Roman" w:hAnsi="Times New Roman"/>
          <w:i w:val="0"/>
          <w:sz w:val="28"/>
        </w:rPr>
      </w:pPr>
      <w:r w:rsidRPr="006D56EA">
        <w:rPr>
          <w:rFonts w:ascii="Times New Roman" w:hAnsi="Times New Roman"/>
          <w:i w:val="0"/>
          <w:sz w:val="28"/>
        </w:rPr>
        <w:t xml:space="preserve">- Nguồn vốn chương trình mục tiêu khác trong năm: thực hiện 9.541,04 triệu đồng, đạt 96,5% nhiệm vụ chi. Trong đó: Chương trình hỗ trợ xã trọng điểm 1.786 triệu đồng; Nguồn NS tỉnh hỗ trợ đầu tư công trình giáo dục 3.960 triệu đồng; Nguồn vốn đầu tư xã biên giới 1.901,04 triệu đồng; Nguồn vốn sự nghiệp có tính chất XDCB 1.894 triệu đồng. </w:t>
      </w:r>
    </w:p>
    <w:p w:rsidR="00297F7D" w:rsidRPr="006D56EA" w:rsidRDefault="00297F7D" w:rsidP="006D56EA">
      <w:pPr>
        <w:pStyle w:val="Vnbnnidung260"/>
        <w:shd w:val="clear" w:color="auto" w:fill="auto"/>
        <w:spacing w:before="120" w:after="120" w:line="240" w:lineRule="auto"/>
        <w:ind w:firstLine="709"/>
        <w:rPr>
          <w:rFonts w:ascii="Times New Roman" w:hAnsi="Times New Roman"/>
          <w:i w:val="0"/>
          <w:sz w:val="28"/>
        </w:rPr>
      </w:pPr>
      <w:r w:rsidRPr="006D56EA">
        <w:rPr>
          <w:rFonts w:ascii="Times New Roman" w:hAnsi="Times New Roman"/>
          <w:i w:val="0"/>
          <w:sz w:val="28"/>
        </w:rPr>
        <w:t>- Nguồn vốn XDCB khác: thực hiện 10.317,56 triệu đồng, đạt 70,67% nhiệm vụ chi, gồm: nguồn tăng thu ngân sách 170,59 triệu đồng; Nguồn thu phí BVMT 47 triệu đồng; Nguồn dự phòng 1.866,74 triệu đồng; nguồn kết dư 8.233,24 triệu đồng.</w:t>
      </w:r>
    </w:p>
    <w:p w:rsidR="00297F7D" w:rsidRPr="006D56EA" w:rsidRDefault="00297F7D" w:rsidP="006D56EA">
      <w:pPr>
        <w:spacing w:before="120" w:after="120"/>
        <w:ind w:firstLine="709"/>
        <w:jc w:val="both"/>
        <w:rPr>
          <w:color w:val="auto"/>
          <w:szCs w:val="28"/>
        </w:rPr>
      </w:pPr>
      <w:r w:rsidRPr="006D56EA">
        <w:rPr>
          <w:b/>
          <w:color w:val="auto"/>
          <w:szCs w:val="28"/>
        </w:rPr>
        <w:t xml:space="preserve">* Nguyên nhân chi đầu tư phát triển tăng hơn so dự toán giao đầu năm là: </w:t>
      </w:r>
      <w:r w:rsidRPr="006D56EA">
        <w:rPr>
          <w:color w:val="auto"/>
          <w:szCs w:val="28"/>
        </w:rPr>
        <w:t xml:space="preserve">Tăng từ nguồn UBND tỉnh bổ sung mục tiêu 10.193,5 triệu đồng; </w:t>
      </w:r>
      <w:r w:rsidRPr="006D56EA">
        <w:rPr>
          <w:rStyle w:val="Vnbnnidung2Innghing"/>
          <w:color w:val="auto"/>
        </w:rPr>
        <w:t>bao gồm</w:t>
      </w:r>
      <w:r w:rsidRPr="006D56EA">
        <w:rPr>
          <w:color w:val="auto"/>
          <w:szCs w:val="28"/>
        </w:rPr>
        <w:t>,</w:t>
      </w:r>
      <w:r w:rsidRPr="006D56EA">
        <w:rPr>
          <w:i/>
          <w:color w:val="auto"/>
          <w:szCs w:val="28"/>
        </w:rPr>
        <w:t xml:space="preserve"> </w:t>
      </w:r>
      <w:r w:rsidRPr="006D56EA">
        <w:rPr>
          <w:color w:val="auto"/>
          <w:szCs w:val="28"/>
        </w:rPr>
        <w:t xml:space="preserve">nguồn MTQG giảm nghèo (135), QĐ 293/CP 7.997 triệu đồng; MTQG XDNTM 66 triệu đồng; nguồn 755/CP 180,2 triệu đồng; Nguồn SN khắc phục hạn hán vụ đông xuân 2015-2016 là 1.950,3 triệu đồng; Tăng chi từ nguồn kết dư 9.981,23 </w:t>
      </w:r>
      <w:r w:rsidRPr="006D56EA">
        <w:rPr>
          <w:color w:val="auto"/>
          <w:szCs w:val="28"/>
        </w:rPr>
        <w:lastRenderedPageBreak/>
        <w:t>triệu đồng; nhiệm vụ chi chuyển nguồn năm 2015 sang 2016 là 4.680,74 triệu đồng.</w:t>
      </w:r>
    </w:p>
    <w:p w:rsidR="00297F7D" w:rsidRPr="006D56EA" w:rsidRDefault="00297F7D" w:rsidP="006D56EA">
      <w:pPr>
        <w:spacing w:before="120" w:after="120"/>
        <w:ind w:firstLine="709"/>
        <w:jc w:val="both"/>
        <w:rPr>
          <w:b/>
          <w:color w:val="auto"/>
          <w:szCs w:val="28"/>
        </w:rPr>
      </w:pPr>
      <w:r w:rsidRPr="006D56EA">
        <w:rPr>
          <w:b/>
          <w:color w:val="auto"/>
          <w:szCs w:val="28"/>
        </w:rPr>
        <w:t>2. Chi thường xuyên</w:t>
      </w:r>
    </w:p>
    <w:p w:rsidR="00297F7D" w:rsidRPr="006D56EA" w:rsidRDefault="00297F7D" w:rsidP="006D56EA">
      <w:pPr>
        <w:spacing w:before="120" w:after="120"/>
        <w:ind w:firstLine="709"/>
        <w:jc w:val="both"/>
        <w:rPr>
          <w:color w:val="auto"/>
          <w:szCs w:val="28"/>
        </w:rPr>
      </w:pPr>
      <w:r w:rsidRPr="006D56EA">
        <w:rPr>
          <w:color w:val="auto"/>
          <w:szCs w:val="28"/>
        </w:rPr>
        <w:t xml:space="preserve">Thực hiện 228.430,8 triệu đồng, đạt 113% dự toán tỉnh và huyện giao và đạt 89% nhiệm vụ chi, bằng 99,6% so với cùng kỳ. </w:t>
      </w:r>
      <w:r w:rsidRPr="006D56EA">
        <w:rPr>
          <w:rStyle w:val="Vnbnnidung2Innghing"/>
          <w:color w:val="auto"/>
        </w:rPr>
        <w:t xml:space="preserve">Trong đó, </w:t>
      </w:r>
      <w:r w:rsidRPr="006D56EA">
        <w:rPr>
          <w:color w:val="auto"/>
          <w:szCs w:val="28"/>
        </w:rPr>
        <w:t>chi ngân sách cấp huyện 187.784,8 triệu đồng, đạt 82,2% tổng chi thường xuyên ngân sách.</w:t>
      </w:r>
    </w:p>
    <w:p w:rsidR="00297F7D" w:rsidRPr="006D56EA" w:rsidRDefault="00297F7D" w:rsidP="006D56EA">
      <w:pPr>
        <w:spacing w:before="120" w:after="120"/>
        <w:ind w:firstLine="709"/>
        <w:jc w:val="both"/>
        <w:rPr>
          <w:color w:val="auto"/>
          <w:szCs w:val="28"/>
        </w:rPr>
      </w:pPr>
      <w:r w:rsidRPr="006D56EA">
        <w:rPr>
          <w:b/>
          <w:color w:val="auto"/>
          <w:szCs w:val="28"/>
        </w:rPr>
        <w:t>* Nguyên nhân chi thường xuyên tăng 13% so dự toán, gồm:</w:t>
      </w:r>
      <w:r w:rsidRPr="006D56EA">
        <w:rPr>
          <w:color w:val="auto"/>
          <w:szCs w:val="28"/>
        </w:rPr>
        <w:t xml:space="preserve"> trong năm UBND tỉnh bổ sung các chương trình mục tiêu, nhiệm vụ phát sinh, số tiền: 33.107,344 triệu đồng, trong đó: bổ sung kinh phí bầu cử là 901 triệu đồng; khắc phục hạn hán vụ đông xuân 2015-2016 là 1.849,7 triệu đồng; chính sách ĐCĐC theo Quyết định 33/CP là 1.280 triệu đồng; chính sách giáo dục là 6.099,9 triệu đồng; Chương trình MTQG giảm nghèo bền vững, MTQG XDNTM, huyện nghèo theo Quyết định 293/CP là 7.317 triệu đồng; chế độ nghỉ hưu là 1.971,744 triệu đồng; Kinh phí bảo trợ xã hội là 2.032 triệu đồng; kinh phí thực hiện cải cách tiền lương là 9.323 triệu đồng; kinh phí an ninh, quốc phòng là 1.820 triệu đồng; các chính sách khác là 513 triệu đồng. Nhiệm vụ chi chuyển nguồn năm 2015 sang năm 2016 là 32.195,76 triệu đồng; chi từ nguồn kế dư là 2.770,96 triệu đồng.</w:t>
      </w:r>
    </w:p>
    <w:p w:rsidR="00297F7D" w:rsidRPr="006D56EA" w:rsidRDefault="00297F7D" w:rsidP="006D56EA">
      <w:pPr>
        <w:spacing w:before="120" w:after="120"/>
        <w:ind w:firstLine="709"/>
        <w:jc w:val="both"/>
        <w:rPr>
          <w:color w:val="auto"/>
          <w:szCs w:val="28"/>
        </w:rPr>
      </w:pPr>
      <w:r w:rsidRPr="006D56EA">
        <w:rPr>
          <w:b/>
          <w:color w:val="auto"/>
          <w:szCs w:val="28"/>
        </w:rPr>
        <w:t>3.</w:t>
      </w:r>
      <w:r w:rsidRPr="006D56EA">
        <w:rPr>
          <w:color w:val="auto"/>
          <w:szCs w:val="28"/>
        </w:rPr>
        <w:t xml:space="preserve"> </w:t>
      </w:r>
      <w:r w:rsidRPr="006D56EA">
        <w:rPr>
          <w:rStyle w:val="Vnbnnidung3Gincch0pt"/>
          <w:color w:val="auto"/>
          <w:sz w:val="28"/>
          <w:szCs w:val="28"/>
        </w:rPr>
        <w:t>Chi chuyển nguồn ngân sách năm 2016 chuyển sang năm 2017</w:t>
      </w:r>
    </w:p>
    <w:p w:rsidR="00297F7D" w:rsidRPr="006D56EA" w:rsidRDefault="00297F7D" w:rsidP="006D56EA">
      <w:pPr>
        <w:spacing w:before="120" w:after="120"/>
        <w:ind w:firstLine="709"/>
        <w:jc w:val="both"/>
        <w:rPr>
          <w:color w:val="auto"/>
          <w:szCs w:val="28"/>
        </w:rPr>
      </w:pPr>
      <w:r w:rsidRPr="006D56EA">
        <w:rPr>
          <w:rStyle w:val="Vnbnnidung3Gincch0pt"/>
          <w:b w:val="0"/>
          <w:color w:val="auto"/>
          <w:sz w:val="28"/>
          <w:szCs w:val="28"/>
        </w:rPr>
        <w:t>Chi chuyển nguồn ngân sách năm 2016 chuyển sang năm 2017 là 26.523,27</w:t>
      </w:r>
      <w:r w:rsidRPr="006D56EA">
        <w:rPr>
          <w:color w:val="auto"/>
          <w:szCs w:val="28"/>
        </w:rPr>
        <w:t xml:space="preserve"> triệu đồng, trong đó: Ngân sách huyện là 23.953,64 triệu đồng; ngân sách xã là 1.332,68 triệu đồng, bao gồm: Chuyển nhiệm vụ chi đầu tư phát triển: 5.081,12 triệu đồng; Nguồn vốn chi thường xuyên: 20.205,2 triệu đồng, trong đó: các chính sách giáo dục: 8.060,63 triệu đồng; chính sách đảm bảo xã hội, tiền điện hộ nghèo 2.083,32 triệu đồng; các mục tiêu thuộc sự nghiệp kinh tế là 2.063 triệu đồng; nguồn thực hiện cải cách tiền lương là 3.428,14 triệu đồng và một số nhiệm vụ mục tiêu khác 3.237,43 triệu đồng.</w:t>
      </w:r>
    </w:p>
    <w:p w:rsidR="00297F7D" w:rsidRPr="006D56EA" w:rsidRDefault="00297F7D" w:rsidP="006D56EA">
      <w:pPr>
        <w:spacing w:before="120" w:after="120"/>
        <w:ind w:firstLine="709"/>
        <w:jc w:val="both"/>
        <w:rPr>
          <w:b/>
          <w:color w:val="auto"/>
          <w:szCs w:val="28"/>
        </w:rPr>
      </w:pPr>
      <w:r w:rsidRPr="006D56EA">
        <w:rPr>
          <w:b/>
          <w:color w:val="auto"/>
          <w:szCs w:val="28"/>
        </w:rPr>
        <w:t xml:space="preserve">4. </w:t>
      </w:r>
      <w:r w:rsidRPr="006D56EA">
        <w:rPr>
          <w:rStyle w:val="Ghichcuitrang10"/>
          <w:b/>
          <w:color w:val="auto"/>
          <w:sz w:val="28"/>
          <w:szCs w:val="28"/>
        </w:rPr>
        <w:t xml:space="preserve">Chi </w:t>
      </w:r>
      <w:r w:rsidRPr="006D56EA">
        <w:rPr>
          <w:b/>
          <w:color w:val="auto"/>
          <w:szCs w:val="28"/>
        </w:rPr>
        <w:t xml:space="preserve">nộp ngân </w:t>
      </w:r>
      <w:r w:rsidRPr="006D56EA">
        <w:rPr>
          <w:rStyle w:val="Ghichcuitrang10"/>
          <w:b/>
          <w:color w:val="auto"/>
          <w:sz w:val="28"/>
          <w:szCs w:val="28"/>
        </w:rPr>
        <w:t xml:space="preserve">sách </w:t>
      </w:r>
      <w:r w:rsidRPr="006D56EA">
        <w:rPr>
          <w:b/>
          <w:color w:val="auto"/>
          <w:szCs w:val="28"/>
        </w:rPr>
        <w:t>cấp trên</w:t>
      </w:r>
    </w:p>
    <w:p w:rsidR="00297F7D" w:rsidRPr="006D56EA" w:rsidRDefault="00297F7D" w:rsidP="006D56EA">
      <w:pPr>
        <w:spacing w:before="120" w:after="120"/>
        <w:ind w:firstLine="709"/>
        <w:jc w:val="both"/>
        <w:rPr>
          <w:color w:val="auto"/>
          <w:szCs w:val="28"/>
        </w:rPr>
      </w:pPr>
      <w:r w:rsidRPr="006D56EA">
        <w:rPr>
          <w:rStyle w:val="Ghichcuitrang10"/>
          <w:color w:val="auto"/>
          <w:sz w:val="28"/>
          <w:szCs w:val="28"/>
        </w:rPr>
        <w:t xml:space="preserve">Chi </w:t>
      </w:r>
      <w:r w:rsidRPr="006D56EA">
        <w:rPr>
          <w:color w:val="auto"/>
          <w:szCs w:val="28"/>
        </w:rPr>
        <w:t xml:space="preserve">nộp ngân </w:t>
      </w:r>
      <w:r w:rsidRPr="006D56EA">
        <w:rPr>
          <w:rStyle w:val="Ghichcuitrang10"/>
          <w:color w:val="auto"/>
          <w:sz w:val="28"/>
          <w:szCs w:val="28"/>
        </w:rPr>
        <w:t xml:space="preserve">sách </w:t>
      </w:r>
      <w:r w:rsidRPr="006D56EA">
        <w:rPr>
          <w:color w:val="auto"/>
          <w:szCs w:val="28"/>
        </w:rPr>
        <w:t>cấp trên là 8.893,71 triệu đồng, gồm: Nguồn thực hiện CCTL thừa 8.388 triệu đồng; thực hiện kết luận kiểm toán nộp trả NS cấp trên nguồn mục tiêu thừa 505.71 triệu đồng.</w:t>
      </w:r>
    </w:p>
    <w:p w:rsidR="00297F7D" w:rsidRPr="006D56EA" w:rsidRDefault="00297F7D" w:rsidP="006D56EA">
      <w:pPr>
        <w:spacing w:before="120" w:after="120"/>
        <w:ind w:firstLine="709"/>
        <w:jc w:val="both"/>
        <w:rPr>
          <w:color w:val="auto"/>
          <w:szCs w:val="28"/>
        </w:rPr>
      </w:pPr>
      <w:r w:rsidRPr="006D56EA">
        <w:rPr>
          <w:color w:val="auto"/>
          <w:szCs w:val="28"/>
        </w:rPr>
        <w:t>Trên đây là báo cáo Quyết toán ngân sách huyện năm 2016, Uỷ ban nhân dân huyện kính đề nghị Hội đồng nhân dân huyện khoá X, kỳ họp thứ 4 xem xét./.</w:t>
      </w:r>
    </w:p>
    <w:tbl>
      <w:tblPr>
        <w:tblW w:w="9755" w:type="dxa"/>
        <w:tblInd w:w="108" w:type="dxa"/>
        <w:tblLook w:val="01E0"/>
      </w:tblPr>
      <w:tblGrid>
        <w:gridCol w:w="4780"/>
        <w:gridCol w:w="4975"/>
      </w:tblGrid>
      <w:tr w:rsidR="00297F7D" w:rsidRPr="000D2B40" w:rsidTr="00A0367B">
        <w:trPr>
          <w:trHeight w:val="1234"/>
        </w:trPr>
        <w:tc>
          <w:tcPr>
            <w:tcW w:w="4780" w:type="dxa"/>
            <w:hideMark/>
          </w:tcPr>
          <w:p w:rsidR="00297F7D" w:rsidRPr="000D2B40" w:rsidRDefault="00297F7D" w:rsidP="00A0367B">
            <w:pPr>
              <w:tabs>
                <w:tab w:val="center" w:pos="1620"/>
              </w:tabs>
              <w:rPr>
                <w:b/>
                <w:i/>
                <w:color w:val="auto"/>
                <w:lang w:val="vi-VN"/>
              </w:rPr>
            </w:pPr>
            <w:r w:rsidRPr="000D2B40">
              <w:rPr>
                <w:b/>
                <w:i/>
                <w:color w:val="auto"/>
              </w:rPr>
              <w:t>Nơi nhận:</w:t>
            </w:r>
          </w:p>
          <w:p w:rsidR="00297F7D" w:rsidRPr="000D2B40" w:rsidRDefault="00297F7D" w:rsidP="00A0367B">
            <w:pPr>
              <w:tabs>
                <w:tab w:val="center" w:pos="1620"/>
              </w:tabs>
              <w:rPr>
                <w:color w:val="auto"/>
                <w:sz w:val="22"/>
              </w:rPr>
            </w:pPr>
            <w:r w:rsidRPr="000D2B40">
              <w:rPr>
                <w:color w:val="auto"/>
                <w:sz w:val="22"/>
                <w:szCs w:val="22"/>
              </w:rPr>
              <w:t>- TT Huyện ủy;</w:t>
            </w:r>
          </w:p>
          <w:p w:rsidR="00297F7D" w:rsidRPr="000D2B40" w:rsidRDefault="00297F7D" w:rsidP="00A0367B">
            <w:pPr>
              <w:tabs>
                <w:tab w:val="center" w:pos="1620"/>
              </w:tabs>
              <w:rPr>
                <w:color w:val="auto"/>
                <w:sz w:val="22"/>
              </w:rPr>
            </w:pPr>
            <w:r w:rsidRPr="000D2B40">
              <w:rPr>
                <w:color w:val="auto"/>
                <w:sz w:val="22"/>
                <w:szCs w:val="22"/>
              </w:rPr>
              <w:t>- HĐND huyện;</w:t>
            </w:r>
          </w:p>
          <w:p w:rsidR="00297F7D" w:rsidRPr="000D2B40" w:rsidRDefault="00297F7D" w:rsidP="00A0367B">
            <w:pPr>
              <w:tabs>
                <w:tab w:val="center" w:pos="1620"/>
              </w:tabs>
              <w:rPr>
                <w:b/>
                <w:i/>
                <w:color w:val="auto"/>
              </w:rPr>
            </w:pPr>
            <w:r w:rsidRPr="000D2B40">
              <w:rPr>
                <w:color w:val="auto"/>
                <w:sz w:val="22"/>
                <w:szCs w:val="22"/>
              </w:rPr>
              <w:t>- Chủ tịch, các Phó Chủ tịch;</w:t>
            </w:r>
          </w:p>
          <w:p w:rsidR="00297F7D" w:rsidRPr="000D2B40" w:rsidRDefault="00297F7D" w:rsidP="00A0367B">
            <w:pPr>
              <w:tabs>
                <w:tab w:val="center" w:pos="1620"/>
              </w:tabs>
              <w:rPr>
                <w:color w:val="auto"/>
                <w:vertAlign w:val="subscript"/>
              </w:rPr>
            </w:pPr>
            <w:r w:rsidRPr="000D2B40">
              <w:rPr>
                <w:color w:val="auto"/>
                <w:sz w:val="22"/>
                <w:szCs w:val="22"/>
              </w:rPr>
              <w:t>- Lưu: VT-LT</w:t>
            </w:r>
            <w:r w:rsidRPr="000D2B40">
              <w:rPr>
                <w:color w:val="auto"/>
                <w:lang w:val="vi-VN"/>
              </w:rPr>
              <w:t>.</w:t>
            </w:r>
          </w:p>
        </w:tc>
        <w:tc>
          <w:tcPr>
            <w:tcW w:w="4975" w:type="dxa"/>
          </w:tcPr>
          <w:p w:rsidR="00297F7D" w:rsidRPr="000D2B40" w:rsidRDefault="00297F7D" w:rsidP="00A0367B">
            <w:pPr>
              <w:tabs>
                <w:tab w:val="center" w:pos="6840"/>
              </w:tabs>
              <w:jc w:val="center"/>
              <w:rPr>
                <w:b/>
                <w:bCs/>
                <w:color w:val="auto"/>
                <w:szCs w:val="28"/>
              </w:rPr>
            </w:pPr>
            <w:r w:rsidRPr="000D2B40">
              <w:rPr>
                <w:b/>
                <w:bCs/>
                <w:color w:val="auto"/>
                <w:szCs w:val="28"/>
              </w:rPr>
              <w:t>TM. ỦY BAN NHÂN DÂN</w:t>
            </w:r>
          </w:p>
          <w:p w:rsidR="00297F7D" w:rsidRPr="000D2B40" w:rsidRDefault="00297F7D" w:rsidP="00A0367B">
            <w:pPr>
              <w:tabs>
                <w:tab w:val="center" w:pos="6840"/>
              </w:tabs>
              <w:jc w:val="center"/>
              <w:rPr>
                <w:b/>
                <w:bCs/>
                <w:color w:val="auto"/>
                <w:szCs w:val="28"/>
              </w:rPr>
            </w:pPr>
            <w:r w:rsidRPr="000D2B40">
              <w:rPr>
                <w:b/>
                <w:bCs/>
                <w:color w:val="auto"/>
                <w:szCs w:val="28"/>
              </w:rPr>
              <w:t>CHỦ TỊCH</w:t>
            </w:r>
          </w:p>
          <w:p w:rsidR="00297F7D" w:rsidRPr="000D2B40" w:rsidRDefault="00297F7D" w:rsidP="00A0367B">
            <w:pPr>
              <w:tabs>
                <w:tab w:val="center" w:pos="6840"/>
              </w:tabs>
              <w:jc w:val="center"/>
              <w:rPr>
                <w:b/>
                <w:bCs/>
                <w:color w:val="auto"/>
                <w:szCs w:val="28"/>
              </w:rPr>
            </w:pPr>
            <w:r w:rsidRPr="000D2B40">
              <w:rPr>
                <w:b/>
                <w:bCs/>
                <w:color w:val="auto"/>
                <w:szCs w:val="28"/>
              </w:rPr>
              <w:t>(Đã ký)</w:t>
            </w:r>
          </w:p>
          <w:p w:rsidR="00297F7D" w:rsidRPr="000D2B40" w:rsidRDefault="00297F7D" w:rsidP="00A0367B">
            <w:pPr>
              <w:tabs>
                <w:tab w:val="center" w:pos="6840"/>
              </w:tabs>
              <w:jc w:val="center"/>
              <w:rPr>
                <w:b/>
                <w:bCs/>
                <w:color w:val="auto"/>
                <w:szCs w:val="28"/>
              </w:rPr>
            </w:pPr>
          </w:p>
          <w:p w:rsidR="00297F7D" w:rsidRPr="000D2B40" w:rsidRDefault="00297F7D" w:rsidP="00A0367B">
            <w:pPr>
              <w:tabs>
                <w:tab w:val="center" w:pos="6840"/>
              </w:tabs>
              <w:jc w:val="center"/>
              <w:rPr>
                <w:b/>
                <w:color w:val="auto"/>
              </w:rPr>
            </w:pPr>
            <w:r w:rsidRPr="000D2B40">
              <w:rPr>
                <w:b/>
                <w:bCs/>
                <w:color w:val="auto"/>
                <w:szCs w:val="28"/>
              </w:rPr>
              <w:t>Nguyễn Ngọc Sâm</w:t>
            </w:r>
          </w:p>
        </w:tc>
      </w:tr>
    </w:tbl>
    <w:p w:rsidR="00297F7D" w:rsidRPr="000D2B40" w:rsidRDefault="00297F7D" w:rsidP="00297F7D">
      <w:pPr>
        <w:spacing w:before="120" w:after="120"/>
        <w:ind w:firstLine="709"/>
        <w:jc w:val="both"/>
        <w:rPr>
          <w:color w:val="auto"/>
          <w:szCs w:val="28"/>
        </w:rPr>
      </w:pP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297F7D"/>
    <w:rsid w:val="00297F7D"/>
    <w:rsid w:val="004A5DBD"/>
    <w:rsid w:val="006D56EA"/>
    <w:rsid w:val="0086205A"/>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7D"/>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DefaultParagraphFont"/>
    <w:rsid w:val="00297F7D"/>
    <w:rPr>
      <w:rFonts w:eastAsia="Times New Roman" w:cs="Times New Roman"/>
      <w:color w:val="000000"/>
      <w:spacing w:val="0"/>
      <w:w w:val="100"/>
      <w:position w:val="0"/>
      <w:sz w:val="21"/>
      <w:szCs w:val="21"/>
      <w:shd w:val="clear" w:color="auto" w:fill="FFFFFF"/>
      <w:lang w:val="vi-VN" w:eastAsia="vi-VN" w:bidi="vi-VN"/>
    </w:rPr>
  </w:style>
  <w:style w:type="character" w:customStyle="1" w:styleId="Vnbnnidung2Innghing">
    <w:name w:val="Văn bản nội dung (2) + In nghiêng"/>
    <w:basedOn w:val="DefaultParagraphFont"/>
    <w:rsid w:val="00297F7D"/>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5Innghing">
    <w:name w:val="Văn bản nội dung (5) + In nghiêng"/>
    <w:basedOn w:val="DefaultParagraphFont"/>
    <w:rsid w:val="00297F7D"/>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3">
    <w:name w:val="Văn bản nội dung (3)_"/>
    <w:basedOn w:val="DefaultParagraphFont"/>
    <w:link w:val="Vnbnnidung30"/>
    <w:uiPriority w:val="99"/>
    <w:rsid w:val="00297F7D"/>
    <w:rPr>
      <w:rFonts w:eastAsia="Times New Roman" w:cs="Times New Roman"/>
      <w:b/>
      <w:bCs/>
      <w:spacing w:val="10"/>
      <w:shd w:val="clear" w:color="auto" w:fill="FFFFFF"/>
    </w:rPr>
  </w:style>
  <w:style w:type="paragraph" w:customStyle="1" w:styleId="Vnbnnidung30">
    <w:name w:val="Văn bản nội dung (3)"/>
    <w:basedOn w:val="Normal"/>
    <w:link w:val="Vnbnnidung3"/>
    <w:uiPriority w:val="99"/>
    <w:rsid w:val="00297F7D"/>
    <w:pPr>
      <w:widowControl w:val="0"/>
      <w:shd w:val="clear" w:color="auto" w:fill="FFFFFF"/>
      <w:spacing w:after="180" w:line="320" w:lineRule="exact"/>
      <w:jc w:val="center"/>
    </w:pPr>
    <w:rPr>
      <w:rFonts w:asciiTheme="minorHAnsi" w:hAnsiTheme="minorHAnsi"/>
      <w:b/>
      <w:bCs/>
      <w:color w:val="auto"/>
      <w:spacing w:val="10"/>
      <w:sz w:val="22"/>
      <w:szCs w:val="22"/>
    </w:rPr>
  </w:style>
  <w:style w:type="character" w:customStyle="1" w:styleId="Vnbnnidung3Gincch0pt">
    <w:name w:val="Văn bản nội dung (3) + Giãn cách 0 pt"/>
    <w:basedOn w:val="Vnbnnidung3"/>
    <w:rsid w:val="00297F7D"/>
    <w:rPr>
      <w:rFonts w:ascii="Times New Roman" w:hAnsi="Times New Roman"/>
      <w:i w:val="0"/>
      <w:iCs w:val="0"/>
      <w:smallCaps w:val="0"/>
      <w:strike w:val="0"/>
      <w:color w:val="000000"/>
      <w:spacing w:val="0"/>
      <w:w w:val="100"/>
      <w:position w:val="0"/>
      <w:sz w:val="24"/>
      <w:szCs w:val="24"/>
      <w:u w:val="none"/>
      <w:lang w:val="vi-VN" w:eastAsia="vi-VN" w:bidi="vi-VN"/>
    </w:rPr>
  </w:style>
  <w:style w:type="character" w:customStyle="1" w:styleId="Vnbnnidung26">
    <w:name w:val="Văn bản nội dung (26)_"/>
    <w:basedOn w:val="DefaultParagraphFont"/>
    <w:link w:val="Vnbnnidung260"/>
    <w:rsid w:val="00297F7D"/>
    <w:rPr>
      <w:rFonts w:eastAsia="Times New Roman" w:cs="Times New Roman"/>
      <w:i/>
      <w:iCs/>
      <w:szCs w:val="28"/>
      <w:shd w:val="clear" w:color="auto" w:fill="FFFFFF"/>
    </w:rPr>
  </w:style>
  <w:style w:type="paragraph" w:customStyle="1" w:styleId="Vnbnnidung260">
    <w:name w:val="Văn bản nội dung (26)"/>
    <w:basedOn w:val="Normal"/>
    <w:link w:val="Vnbnnidung26"/>
    <w:rsid w:val="00297F7D"/>
    <w:pPr>
      <w:widowControl w:val="0"/>
      <w:shd w:val="clear" w:color="auto" w:fill="FFFFFF"/>
      <w:spacing w:line="439" w:lineRule="exact"/>
      <w:jc w:val="both"/>
    </w:pPr>
    <w:rPr>
      <w:rFonts w:asciiTheme="minorHAnsi" w:hAnsiTheme="minorHAnsi"/>
      <w:i/>
      <w:iCs/>
      <w:color w:val="auto"/>
      <w:sz w:val="2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2018-05-23T07:35:00Z</dcterms:created>
  <dcterms:modified xsi:type="dcterms:W3CDTF">2018-05-23T07:36:00Z</dcterms:modified>
</cp:coreProperties>
</file>