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3" w:type="dxa"/>
        <w:tblInd w:w="108" w:type="dxa"/>
        <w:tblLook w:val="01E0"/>
      </w:tblPr>
      <w:tblGrid>
        <w:gridCol w:w="3779"/>
        <w:gridCol w:w="5974"/>
      </w:tblGrid>
      <w:tr w:rsidR="00541E34" w:rsidRPr="000D2B40" w:rsidTr="00A0367B">
        <w:trPr>
          <w:trHeight w:val="830"/>
        </w:trPr>
        <w:tc>
          <w:tcPr>
            <w:tcW w:w="3779" w:type="dxa"/>
          </w:tcPr>
          <w:p w:rsidR="00541E34" w:rsidRPr="000D2B40" w:rsidRDefault="00541E34" w:rsidP="00A0367B">
            <w:pPr>
              <w:jc w:val="center"/>
              <w:rPr>
                <w:b/>
                <w:color w:val="auto"/>
                <w:sz w:val="26"/>
              </w:rPr>
            </w:pPr>
            <w:r w:rsidRPr="000D2B40">
              <w:rPr>
                <w:b/>
                <w:color w:val="auto"/>
                <w:sz w:val="26"/>
              </w:rPr>
              <w:t>ỦY BAN NHÂN DÂN</w:t>
            </w:r>
          </w:p>
          <w:p w:rsidR="00541E34" w:rsidRPr="000D2B40" w:rsidRDefault="00541E34" w:rsidP="00A0367B">
            <w:pPr>
              <w:jc w:val="center"/>
              <w:rPr>
                <w:b/>
                <w:color w:val="auto"/>
                <w:szCs w:val="28"/>
              </w:rPr>
            </w:pPr>
            <w:r w:rsidRPr="00354FF8">
              <w:rPr>
                <w:noProof/>
                <w:color w:val="auto"/>
                <w:szCs w:val="28"/>
              </w:rPr>
              <w:pict>
                <v:line id="_x0000_s1026" style="position:absolute;left:0;text-align:left;z-index:251660288" from="64.6pt,15.95pt" to="99.6pt,15.95pt"/>
              </w:pict>
            </w:r>
            <w:r w:rsidRPr="000D2B40">
              <w:rPr>
                <w:b/>
                <w:color w:val="auto"/>
                <w:sz w:val="26"/>
              </w:rPr>
              <w:t>HUYỆN SA THẦY</w:t>
            </w:r>
          </w:p>
        </w:tc>
        <w:tc>
          <w:tcPr>
            <w:tcW w:w="5974" w:type="dxa"/>
          </w:tcPr>
          <w:p w:rsidR="00541E34" w:rsidRPr="000D2B40" w:rsidRDefault="00541E34" w:rsidP="00A0367B">
            <w:pPr>
              <w:jc w:val="center"/>
              <w:rPr>
                <w:b/>
                <w:color w:val="auto"/>
                <w:sz w:val="26"/>
                <w:szCs w:val="26"/>
              </w:rPr>
            </w:pPr>
            <w:r w:rsidRPr="000D2B40">
              <w:rPr>
                <w:b/>
                <w:color w:val="auto"/>
                <w:sz w:val="26"/>
                <w:szCs w:val="26"/>
              </w:rPr>
              <w:t>CỘNG HÒA XÃ HỘI CHỦ NGHĨA VIỆT NAM</w:t>
            </w:r>
          </w:p>
          <w:p w:rsidR="00541E34" w:rsidRPr="000D2B40" w:rsidRDefault="00541E34" w:rsidP="00A0367B">
            <w:pPr>
              <w:jc w:val="center"/>
              <w:rPr>
                <w:b/>
                <w:color w:val="auto"/>
                <w:szCs w:val="28"/>
              </w:rPr>
            </w:pPr>
            <w:r w:rsidRPr="00354FF8">
              <w:rPr>
                <w:i/>
                <w:noProof/>
                <w:color w:val="auto"/>
                <w:szCs w:val="28"/>
              </w:rPr>
              <w:pict>
                <v:line id="_x0000_s1027" style="position:absolute;left:0;text-align:left;z-index:251661312" from="55.6pt,16.45pt" to="223.6pt,16.4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541E34" w:rsidRPr="000D2B40" w:rsidTr="00A0367B">
        <w:trPr>
          <w:trHeight w:val="489"/>
        </w:trPr>
        <w:tc>
          <w:tcPr>
            <w:tcW w:w="3779" w:type="dxa"/>
          </w:tcPr>
          <w:p w:rsidR="00541E34" w:rsidRPr="000D2B40" w:rsidRDefault="00541E34" w:rsidP="00A0367B">
            <w:pPr>
              <w:spacing w:before="100"/>
              <w:jc w:val="center"/>
              <w:rPr>
                <w:b/>
                <w:color w:val="auto"/>
                <w:sz w:val="26"/>
                <w:szCs w:val="26"/>
              </w:rPr>
            </w:pPr>
            <w:r w:rsidRPr="000D2B40">
              <w:rPr>
                <w:color w:val="auto"/>
                <w:sz w:val="26"/>
                <w:szCs w:val="26"/>
              </w:rPr>
              <w:t>Số: 296/BC-UBND</w:t>
            </w:r>
          </w:p>
        </w:tc>
        <w:tc>
          <w:tcPr>
            <w:tcW w:w="5974" w:type="dxa"/>
          </w:tcPr>
          <w:p w:rsidR="00541E34" w:rsidRPr="000D2B40" w:rsidRDefault="00541E34" w:rsidP="00A0367B">
            <w:pPr>
              <w:spacing w:before="100"/>
              <w:jc w:val="center"/>
              <w:rPr>
                <w:i/>
                <w:color w:val="auto"/>
                <w:szCs w:val="28"/>
              </w:rPr>
            </w:pPr>
            <w:r w:rsidRPr="000D2B40">
              <w:rPr>
                <w:i/>
                <w:color w:val="auto"/>
                <w:szCs w:val="28"/>
              </w:rPr>
              <w:t>Sa Thầy, ngày 17 tháng 7 năm 2017</w:t>
            </w:r>
          </w:p>
        </w:tc>
      </w:tr>
    </w:tbl>
    <w:p w:rsidR="00541E34" w:rsidRPr="000D2B40" w:rsidRDefault="00541E34" w:rsidP="00541E34">
      <w:pPr>
        <w:rPr>
          <w:color w:val="auto"/>
        </w:rPr>
      </w:pPr>
    </w:p>
    <w:p w:rsidR="00541E34" w:rsidRPr="000D2B40" w:rsidRDefault="00541E34" w:rsidP="00541E34">
      <w:pPr>
        <w:pStyle w:val="Vnbnnidung30"/>
        <w:shd w:val="clear" w:color="auto" w:fill="auto"/>
        <w:spacing w:after="0" w:line="240" w:lineRule="auto"/>
        <w:rPr>
          <w:b w:val="0"/>
          <w:szCs w:val="28"/>
        </w:rPr>
      </w:pPr>
      <w:r w:rsidRPr="000D2B40">
        <w:rPr>
          <w:rStyle w:val="Vnbnnidung3Gincch0pt"/>
          <w:sz w:val="28"/>
          <w:szCs w:val="28"/>
        </w:rPr>
        <w:t>BÁO CÁO</w:t>
      </w:r>
    </w:p>
    <w:p w:rsidR="00541E34" w:rsidRPr="000D2B40" w:rsidRDefault="00541E34" w:rsidP="00541E34">
      <w:pPr>
        <w:pStyle w:val="Vnbnnidung30"/>
        <w:shd w:val="clear" w:color="auto" w:fill="auto"/>
        <w:spacing w:after="0" w:line="240" w:lineRule="auto"/>
        <w:rPr>
          <w:b w:val="0"/>
          <w:szCs w:val="28"/>
        </w:rPr>
      </w:pPr>
      <w:r w:rsidRPr="000D2B40">
        <w:rPr>
          <w:rStyle w:val="Vnbnnidung3Gincch0pt"/>
          <w:sz w:val="28"/>
          <w:szCs w:val="28"/>
        </w:rPr>
        <w:t>Tình hình thực hiện dự toán thu, chi ngân sách 6 tháng đầu năm;</w:t>
      </w:r>
      <w:r w:rsidRPr="000D2B40">
        <w:rPr>
          <w:rStyle w:val="Vnbnnidung3Gincch0pt"/>
          <w:sz w:val="28"/>
          <w:szCs w:val="28"/>
        </w:rPr>
        <w:br/>
        <w:t>biện pháp triển khai nhiệm vụ 6 tháng cuối năm 2017</w:t>
      </w:r>
    </w:p>
    <w:p w:rsidR="00541E34" w:rsidRPr="000D2B40" w:rsidRDefault="00541E34" w:rsidP="00541E34">
      <w:pPr>
        <w:spacing w:line="313" w:lineRule="exact"/>
        <w:ind w:left="220" w:firstLine="860"/>
        <w:rPr>
          <w:color w:val="auto"/>
        </w:rPr>
      </w:pPr>
      <w:r>
        <w:rPr>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216.2pt;margin-top:1.6pt;width:36.5pt;height:0;z-index:251662336" o:connectortype="straight"/>
        </w:pict>
      </w:r>
    </w:p>
    <w:p w:rsidR="00541E34" w:rsidRPr="000D2B40" w:rsidRDefault="00541E34" w:rsidP="00541E34">
      <w:pPr>
        <w:spacing w:before="120" w:after="120"/>
        <w:ind w:firstLine="709"/>
        <w:jc w:val="both"/>
        <w:rPr>
          <w:color w:val="auto"/>
          <w:szCs w:val="28"/>
        </w:rPr>
      </w:pPr>
      <w:r w:rsidRPr="000D2B40">
        <w:rPr>
          <w:color w:val="auto"/>
          <w:szCs w:val="28"/>
        </w:rPr>
        <w:t>Căn cứ Quyết định số 1057/ỌĐ-UBND ngày 09/12/2016 của UBND tỉnh Kon Tum về việc giao chỉ tiêu kế hoạch kinh tế - xã hội và dự toán ngân sách nhà nước năm 2017;</w:t>
      </w:r>
    </w:p>
    <w:p w:rsidR="00541E34" w:rsidRPr="000D2B40" w:rsidRDefault="00541E34" w:rsidP="00541E34">
      <w:pPr>
        <w:spacing w:before="120" w:after="120"/>
        <w:ind w:firstLine="709"/>
        <w:jc w:val="both"/>
        <w:rPr>
          <w:color w:val="auto"/>
          <w:szCs w:val="28"/>
        </w:rPr>
      </w:pPr>
      <w:r w:rsidRPr="000D2B40">
        <w:rPr>
          <w:color w:val="auto"/>
          <w:szCs w:val="28"/>
        </w:rPr>
        <w:t>Căn cứ Nghị quyết số 50/NQ-HĐND ngày 20/12/2016 cua HĐND huyện Sa Thầy về việc giao chỉ tiêu kinh tế xã hội và dự toán ngân sách nhà nước năm 2017;</w:t>
      </w:r>
    </w:p>
    <w:p w:rsidR="00541E34" w:rsidRPr="000D2B40" w:rsidRDefault="00541E34" w:rsidP="00541E34">
      <w:pPr>
        <w:spacing w:before="120" w:after="120"/>
        <w:ind w:firstLine="709"/>
        <w:jc w:val="both"/>
        <w:rPr>
          <w:color w:val="auto"/>
          <w:szCs w:val="28"/>
        </w:rPr>
      </w:pPr>
      <w:r w:rsidRPr="000D2B40">
        <w:rPr>
          <w:color w:val="auto"/>
          <w:szCs w:val="28"/>
        </w:rPr>
        <w:t>UBND huyện Sa Thầy báo cáo tình hình thực hiện nhiệm vụ thu, chi ngân sách 6 tháng đầu năm và biện pháp triển khai nhiệm vụ 6 tháng cuối năm 2017, như sau:</w:t>
      </w:r>
    </w:p>
    <w:p w:rsidR="00541E34" w:rsidRPr="00541E34"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541E34">
        <w:rPr>
          <w:rStyle w:val="Vnbnnidung3Gincch0pt"/>
          <w:sz w:val="28"/>
          <w:szCs w:val="28"/>
        </w:rPr>
        <w:t>A. Đánh giá tình hình thực hiện thu, chi ngân sách 6 tháng đầu năm</w:t>
      </w:r>
      <w:r w:rsidRPr="00541E34">
        <w:rPr>
          <w:rFonts w:ascii="Times New Roman" w:hAnsi="Times New Roman"/>
          <w:b w:val="0"/>
          <w:sz w:val="28"/>
          <w:szCs w:val="28"/>
        </w:rPr>
        <w:t xml:space="preserve"> </w:t>
      </w:r>
      <w:r w:rsidRPr="00541E34">
        <w:rPr>
          <w:rStyle w:val="Vnbnnidung3Gincch0pt"/>
          <w:sz w:val="28"/>
          <w:szCs w:val="28"/>
        </w:rPr>
        <w:t>2017</w:t>
      </w:r>
    </w:p>
    <w:p w:rsidR="00541E34" w:rsidRPr="00541E34"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541E34">
        <w:rPr>
          <w:rStyle w:val="Vnbnnidung3Gincch0pt"/>
          <w:sz w:val="28"/>
          <w:szCs w:val="28"/>
        </w:rPr>
        <w:t xml:space="preserve">I. </w:t>
      </w:r>
      <w:r w:rsidRPr="00541E34">
        <w:rPr>
          <w:rStyle w:val="Ghichcuitrang10"/>
          <w:rFonts w:ascii="Times New Roman" w:hAnsi="Times New Roman"/>
          <w:sz w:val="28"/>
          <w:szCs w:val="28"/>
        </w:rPr>
        <w:t xml:space="preserve">Về </w:t>
      </w:r>
      <w:r w:rsidRPr="00541E34">
        <w:rPr>
          <w:rStyle w:val="Vnbnnidung3Gincch0pt"/>
          <w:sz w:val="28"/>
          <w:szCs w:val="28"/>
        </w:rPr>
        <w:t>phần thu ngân sách</w:t>
      </w:r>
    </w:p>
    <w:p w:rsidR="00541E34" w:rsidRPr="00541E34" w:rsidRDefault="00541E34" w:rsidP="00541E34">
      <w:pPr>
        <w:spacing w:before="120" w:after="120"/>
        <w:ind w:firstLine="709"/>
        <w:jc w:val="both"/>
        <w:rPr>
          <w:color w:val="auto"/>
          <w:szCs w:val="28"/>
        </w:rPr>
      </w:pPr>
      <w:r w:rsidRPr="00541E34">
        <w:rPr>
          <w:color w:val="auto"/>
          <w:szCs w:val="28"/>
        </w:rPr>
        <w:t>Nhiệm vụ thu ngân sách nhà nước trên địa bàn năm 2017: Tỉnh giao 54.880 triệu đồng, HĐND huyện giao 60.487 triệu đồng, trong đó: Chi cục thuế huyện thu tỉnh giao 20.130 triệu đồng, kế hoạch huyện giao 25.737 triệu đồng.</w:t>
      </w:r>
    </w:p>
    <w:p w:rsidR="00541E34" w:rsidRPr="00541E34" w:rsidRDefault="00541E34" w:rsidP="00541E34">
      <w:pPr>
        <w:spacing w:before="120" w:after="120"/>
        <w:ind w:firstLine="709"/>
        <w:jc w:val="both"/>
        <w:rPr>
          <w:color w:val="auto"/>
          <w:szCs w:val="28"/>
        </w:rPr>
      </w:pPr>
      <w:r w:rsidRPr="00541E34">
        <w:rPr>
          <w:color w:val="auto"/>
          <w:szCs w:val="28"/>
        </w:rPr>
        <w:t>Thực hiện thu NSNN trên địa bàn tháng 6 năm 2017 là 30.302 triệu đồng, đạt 55% dự toán tỉnh giao và 50% dự toán HĐND huyện giao; trong đó, phần Chi cục thuế huyện thu 12.891,73 triệu đồng, đạt 64% dự toán tỉnh giao và 50% dự toán HĐND huyện giao; bằng 99% so với cùng kỳ năm trước.</w:t>
      </w:r>
    </w:p>
    <w:p w:rsidR="00541E34" w:rsidRPr="00541E34" w:rsidRDefault="00541E34" w:rsidP="00541E34">
      <w:pPr>
        <w:spacing w:before="120" w:after="120"/>
        <w:ind w:firstLine="709"/>
        <w:jc w:val="both"/>
        <w:rPr>
          <w:rStyle w:val="Ghichcuitrang10"/>
          <w:b/>
          <w:color w:val="auto"/>
          <w:sz w:val="28"/>
          <w:szCs w:val="28"/>
        </w:rPr>
      </w:pPr>
      <w:r w:rsidRPr="00541E34">
        <w:rPr>
          <w:b/>
          <w:color w:val="auto"/>
          <w:szCs w:val="28"/>
        </w:rPr>
        <w:t xml:space="preserve">1. </w:t>
      </w:r>
      <w:r w:rsidRPr="00541E34">
        <w:rPr>
          <w:rStyle w:val="Ghichcuitrang10"/>
          <w:b/>
          <w:color w:val="auto"/>
          <w:sz w:val="28"/>
          <w:szCs w:val="28"/>
        </w:rPr>
        <w:t>Thu từ Doanh nghiệp Nhà nước Trung ương</w:t>
      </w:r>
    </w:p>
    <w:p w:rsidR="00541E34" w:rsidRPr="00541E34" w:rsidRDefault="00541E34" w:rsidP="00541E34">
      <w:pPr>
        <w:spacing w:before="120" w:after="120"/>
        <w:ind w:firstLine="709"/>
        <w:jc w:val="both"/>
        <w:rPr>
          <w:color w:val="auto"/>
          <w:szCs w:val="28"/>
        </w:rPr>
      </w:pPr>
      <w:r w:rsidRPr="00541E34">
        <w:rPr>
          <w:rStyle w:val="Ghichcuitrang10"/>
          <w:color w:val="auto"/>
          <w:sz w:val="28"/>
          <w:szCs w:val="28"/>
        </w:rPr>
        <w:t xml:space="preserve">Thực </w:t>
      </w:r>
      <w:r w:rsidRPr="00541E34">
        <w:rPr>
          <w:color w:val="auto"/>
          <w:szCs w:val="28"/>
        </w:rPr>
        <w:t>hiện thu 6 tháng là 4.240 triệu đồng, đạt 771% dự toán tỉnh và HĐND huyện giao; bằng 1.268% so với cùng kỳ.</w:t>
      </w:r>
    </w:p>
    <w:p w:rsidR="00541E34" w:rsidRPr="00541E34" w:rsidRDefault="00541E34" w:rsidP="00541E34">
      <w:pPr>
        <w:spacing w:before="120" w:after="120"/>
        <w:ind w:firstLine="709"/>
        <w:jc w:val="both"/>
        <w:rPr>
          <w:rStyle w:val="Ghichcuitrang10"/>
          <w:b/>
          <w:color w:val="auto"/>
          <w:sz w:val="28"/>
          <w:szCs w:val="28"/>
        </w:rPr>
      </w:pPr>
      <w:r w:rsidRPr="00541E34">
        <w:rPr>
          <w:b/>
          <w:color w:val="auto"/>
          <w:szCs w:val="28"/>
        </w:rPr>
        <w:t xml:space="preserve">2. </w:t>
      </w:r>
      <w:r w:rsidRPr="00541E34">
        <w:rPr>
          <w:rStyle w:val="Ghichcuitrang10"/>
          <w:b/>
          <w:color w:val="auto"/>
          <w:sz w:val="28"/>
          <w:szCs w:val="28"/>
        </w:rPr>
        <w:t>Thu từ Doanh nghiệp Nhà nước địa phương</w:t>
      </w:r>
    </w:p>
    <w:p w:rsidR="00541E34" w:rsidRPr="00541E34" w:rsidRDefault="00541E34" w:rsidP="00541E34">
      <w:pPr>
        <w:spacing w:before="120" w:after="120"/>
        <w:ind w:firstLine="709"/>
        <w:jc w:val="both"/>
        <w:rPr>
          <w:color w:val="auto"/>
          <w:szCs w:val="28"/>
        </w:rPr>
      </w:pPr>
      <w:r w:rsidRPr="00541E34">
        <w:rPr>
          <w:color w:val="auto"/>
          <w:szCs w:val="28"/>
        </w:rPr>
        <w:t>Thực hiện thu 6 tháng là 44,6 triệu đồng, đạt 10% dự toán tỉnh và HĐND huyện giao; bằng 12% so với cùng kỷ.</w:t>
      </w:r>
    </w:p>
    <w:p w:rsidR="00541E34" w:rsidRPr="00541E34" w:rsidRDefault="00541E34" w:rsidP="00541E34">
      <w:pPr>
        <w:spacing w:before="120" w:after="120"/>
        <w:ind w:firstLine="709"/>
        <w:jc w:val="both"/>
        <w:rPr>
          <w:rStyle w:val="Ghichcuitrang10"/>
          <w:b/>
          <w:color w:val="auto"/>
          <w:sz w:val="28"/>
          <w:szCs w:val="28"/>
        </w:rPr>
      </w:pPr>
      <w:r w:rsidRPr="00541E34">
        <w:rPr>
          <w:b/>
          <w:color w:val="auto"/>
          <w:szCs w:val="28"/>
        </w:rPr>
        <w:t xml:space="preserve">3. </w:t>
      </w:r>
      <w:r w:rsidRPr="00541E34">
        <w:rPr>
          <w:rStyle w:val="Ghichcuitrang10"/>
          <w:b/>
          <w:color w:val="auto"/>
          <w:sz w:val="28"/>
          <w:szCs w:val="28"/>
        </w:rPr>
        <w:t>Thu từ thành phần kinh tế công thưong nghiệp và dịch vụ ngoài quốc doanh</w:t>
      </w:r>
    </w:p>
    <w:p w:rsidR="00541E34" w:rsidRPr="00541E34" w:rsidRDefault="00541E34" w:rsidP="00541E34">
      <w:pPr>
        <w:spacing w:before="120" w:after="120"/>
        <w:ind w:firstLine="709"/>
        <w:jc w:val="both"/>
        <w:rPr>
          <w:color w:val="auto"/>
          <w:szCs w:val="28"/>
        </w:rPr>
      </w:pPr>
      <w:r w:rsidRPr="00541E34">
        <w:rPr>
          <w:rStyle w:val="Ghichcuitrang10"/>
          <w:color w:val="auto"/>
          <w:sz w:val="28"/>
          <w:szCs w:val="28"/>
        </w:rPr>
        <w:t xml:space="preserve"> </w:t>
      </w:r>
      <w:r w:rsidRPr="00541E34">
        <w:rPr>
          <w:color w:val="auto"/>
          <w:szCs w:val="28"/>
        </w:rPr>
        <w:t>Thực hiện 6 tháng là 18.212,44 triệu đồng, đạt 41% dự toán tỉnh giao và 39% dự toán huyện giao; bằng 82% so với cùng kỳ. Trong đó, Chi cục thuế thu 6 tháng là 6.226,72 triệu đồng, đạt 52% so dự toán tỉnh giao và 47% dự toán huyện giao; Văn phòng Cục thuế thu 11.985,71 triệu đồng, đạt 36,22% dự toán.</w:t>
      </w:r>
    </w:p>
    <w:p w:rsidR="00541E34" w:rsidRPr="00541E34" w:rsidRDefault="00541E34" w:rsidP="00541E34">
      <w:pPr>
        <w:spacing w:before="120" w:after="120"/>
        <w:ind w:firstLine="709"/>
        <w:jc w:val="both"/>
        <w:rPr>
          <w:rStyle w:val="Ghichcuitrang10"/>
          <w:b/>
          <w:color w:val="auto"/>
          <w:sz w:val="28"/>
          <w:szCs w:val="28"/>
        </w:rPr>
      </w:pPr>
      <w:r w:rsidRPr="00541E34">
        <w:rPr>
          <w:b/>
          <w:color w:val="auto"/>
          <w:szCs w:val="28"/>
        </w:rPr>
        <w:lastRenderedPageBreak/>
        <w:t xml:space="preserve">4. </w:t>
      </w:r>
      <w:r w:rsidRPr="00541E34">
        <w:rPr>
          <w:rStyle w:val="Ghichcuitrang10"/>
          <w:b/>
          <w:color w:val="auto"/>
          <w:sz w:val="28"/>
          <w:szCs w:val="28"/>
        </w:rPr>
        <w:t xml:space="preserve">Thu tiền </w:t>
      </w:r>
      <w:r w:rsidRPr="00541E34">
        <w:rPr>
          <w:b/>
          <w:color w:val="auto"/>
          <w:szCs w:val="28"/>
        </w:rPr>
        <w:t xml:space="preserve">sử </w:t>
      </w:r>
      <w:r w:rsidRPr="00541E34">
        <w:rPr>
          <w:rStyle w:val="Ghichcuitrang10"/>
          <w:b/>
          <w:color w:val="auto"/>
          <w:sz w:val="28"/>
          <w:szCs w:val="28"/>
        </w:rPr>
        <w:t>dụng đất</w:t>
      </w:r>
    </w:p>
    <w:p w:rsidR="00541E34" w:rsidRPr="00541E34" w:rsidRDefault="00541E34" w:rsidP="00541E34">
      <w:pPr>
        <w:spacing w:before="120" w:after="120"/>
        <w:ind w:firstLine="709"/>
        <w:jc w:val="both"/>
        <w:rPr>
          <w:color w:val="auto"/>
          <w:szCs w:val="28"/>
        </w:rPr>
      </w:pPr>
      <w:r w:rsidRPr="00541E34">
        <w:rPr>
          <w:color w:val="auto"/>
          <w:szCs w:val="28"/>
        </w:rPr>
        <w:t>Thực hiện 6 tháng là 2.593,95 triệu đồng, đạt 259% dự toán tỉnh giao và 50% dự toán HĐND huyện giao; bằng 56% so cùng kỳ.</w:t>
      </w:r>
    </w:p>
    <w:p w:rsidR="00541E34" w:rsidRPr="00541E34" w:rsidRDefault="00541E34" w:rsidP="00541E34">
      <w:pPr>
        <w:spacing w:before="120" w:after="120"/>
        <w:ind w:firstLine="709"/>
        <w:jc w:val="both"/>
        <w:rPr>
          <w:rStyle w:val="Ghichcuitrang10"/>
          <w:b/>
          <w:color w:val="auto"/>
          <w:sz w:val="28"/>
          <w:szCs w:val="28"/>
        </w:rPr>
      </w:pPr>
      <w:r w:rsidRPr="00541E34">
        <w:rPr>
          <w:b/>
          <w:color w:val="auto"/>
          <w:szCs w:val="28"/>
        </w:rPr>
        <w:t xml:space="preserve">5. </w:t>
      </w:r>
      <w:r w:rsidRPr="00541E34">
        <w:rPr>
          <w:rStyle w:val="Ghichcuitrang10"/>
          <w:b/>
          <w:color w:val="auto"/>
          <w:sz w:val="28"/>
          <w:szCs w:val="28"/>
        </w:rPr>
        <w:t>Thuế thu nhập cá nhân</w:t>
      </w:r>
    </w:p>
    <w:p w:rsidR="00541E34" w:rsidRPr="00541E34" w:rsidRDefault="00541E34" w:rsidP="00541E34">
      <w:pPr>
        <w:spacing w:before="120" w:after="120"/>
        <w:ind w:firstLine="709"/>
        <w:jc w:val="both"/>
        <w:rPr>
          <w:color w:val="auto"/>
          <w:szCs w:val="28"/>
        </w:rPr>
      </w:pPr>
      <w:r w:rsidRPr="00541E34">
        <w:rPr>
          <w:color w:val="auto"/>
          <w:szCs w:val="28"/>
        </w:rPr>
        <w:t>Thực hiện 6 tháng là 2.461,48 triệu đồng, đạt 93% dự toán tỉnh giao và HĐND huyện giao; bằng 197% so cùng kỳ.</w:t>
      </w:r>
    </w:p>
    <w:p w:rsidR="00541E34" w:rsidRPr="00541E34" w:rsidRDefault="00541E34" w:rsidP="00541E34">
      <w:pPr>
        <w:spacing w:before="120" w:after="120"/>
        <w:ind w:firstLine="709"/>
        <w:jc w:val="both"/>
        <w:rPr>
          <w:rStyle w:val="Ghichcuitrang10"/>
          <w:b/>
          <w:color w:val="auto"/>
          <w:sz w:val="28"/>
          <w:szCs w:val="28"/>
        </w:rPr>
      </w:pPr>
      <w:r w:rsidRPr="00541E34">
        <w:rPr>
          <w:b/>
          <w:color w:val="auto"/>
          <w:szCs w:val="28"/>
        </w:rPr>
        <w:t xml:space="preserve">6. </w:t>
      </w:r>
      <w:r w:rsidRPr="00541E34">
        <w:rPr>
          <w:rStyle w:val="Ghichcuitrang10"/>
          <w:b/>
          <w:color w:val="auto"/>
          <w:sz w:val="28"/>
          <w:szCs w:val="28"/>
        </w:rPr>
        <w:t>Lệ phí trước bạ</w:t>
      </w:r>
    </w:p>
    <w:p w:rsidR="00541E34" w:rsidRPr="00E41AE8" w:rsidRDefault="00541E34" w:rsidP="00541E34">
      <w:pPr>
        <w:spacing w:before="120" w:after="120"/>
        <w:ind w:firstLine="709"/>
        <w:jc w:val="both"/>
        <w:rPr>
          <w:rStyle w:val="Vnbnnidung3Gincch0pt"/>
          <w:b w:val="0"/>
          <w:color w:val="auto"/>
          <w:sz w:val="28"/>
          <w:szCs w:val="28"/>
        </w:rPr>
      </w:pPr>
      <w:r w:rsidRPr="00E41AE8">
        <w:rPr>
          <w:rStyle w:val="Vnbnnidung3Gincch0pt"/>
          <w:b w:val="0"/>
          <w:color w:val="auto"/>
          <w:sz w:val="28"/>
          <w:szCs w:val="28"/>
        </w:rPr>
        <w:t>Thực hiện 6 tháng là 1.238,86 triệu đồng, đạt 67% dự toán tỉnh và HĐND huyện giao; bằng 196% so cùng kỳ.</w:t>
      </w:r>
    </w:p>
    <w:p w:rsidR="00541E34" w:rsidRPr="00541E34" w:rsidRDefault="00541E34" w:rsidP="00541E34">
      <w:pPr>
        <w:spacing w:before="120" w:after="120"/>
        <w:ind w:firstLine="709"/>
        <w:jc w:val="both"/>
        <w:rPr>
          <w:rStyle w:val="Ghichcuitrang10"/>
          <w:b/>
          <w:color w:val="auto"/>
          <w:sz w:val="28"/>
          <w:szCs w:val="28"/>
        </w:rPr>
      </w:pPr>
      <w:r w:rsidRPr="00541E34">
        <w:rPr>
          <w:rStyle w:val="Vnbnnidung3Gincch0pt"/>
          <w:color w:val="auto"/>
          <w:sz w:val="28"/>
          <w:szCs w:val="28"/>
        </w:rPr>
        <w:t xml:space="preserve">7. </w:t>
      </w:r>
      <w:r w:rsidRPr="00541E34">
        <w:rPr>
          <w:rStyle w:val="Ghichcuitrang10"/>
          <w:b/>
          <w:color w:val="auto"/>
          <w:sz w:val="28"/>
          <w:szCs w:val="28"/>
        </w:rPr>
        <w:t>Các loại phí và lệ phí</w:t>
      </w:r>
    </w:p>
    <w:p w:rsidR="00541E34" w:rsidRPr="00E41AE8" w:rsidRDefault="00541E34" w:rsidP="00541E34">
      <w:pPr>
        <w:spacing w:before="120" w:after="120"/>
        <w:ind w:firstLine="709"/>
        <w:jc w:val="both"/>
        <w:rPr>
          <w:rStyle w:val="Vnbnnidung3Gincch0pt"/>
          <w:b w:val="0"/>
          <w:color w:val="auto"/>
          <w:sz w:val="28"/>
          <w:szCs w:val="28"/>
        </w:rPr>
      </w:pPr>
      <w:r w:rsidRPr="00E41AE8">
        <w:rPr>
          <w:rStyle w:val="Vnbnnidung3Gincch0pt"/>
          <w:b w:val="0"/>
          <w:color w:val="auto"/>
          <w:sz w:val="28"/>
          <w:szCs w:val="28"/>
        </w:rPr>
        <w:t>Thực hiện 6 tháng là 532,64 triệu đồng, đạt 37% dự toán tỉnh và HĐND huyện giao; bằng 161% so cùng kỳ.</w:t>
      </w:r>
    </w:p>
    <w:p w:rsidR="00541E34" w:rsidRPr="00541E34" w:rsidRDefault="00541E34" w:rsidP="00541E34">
      <w:pPr>
        <w:spacing w:before="120" w:after="120"/>
        <w:ind w:firstLine="709"/>
        <w:jc w:val="both"/>
        <w:rPr>
          <w:rStyle w:val="Ghichcuitrang10"/>
          <w:color w:val="auto"/>
          <w:sz w:val="28"/>
          <w:szCs w:val="28"/>
        </w:rPr>
      </w:pPr>
      <w:r w:rsidRPr="00541E34">
        <w:rPr>
          <w:rStyle w:val="Vnbnnidung3Gincch0pt"/>
          <w:color w:val="auto"/>
          <w:sz w:val="28"/>
          <w:szCs w:val="28"/>
        </w:rPr>
        <w:t xml:space="preserve">8. </w:t>
      </w:r>
      <w:r w:rsidRPr="00541E34">
        <w:rPr>
          <w:rStyle w:val="Ghichcuitrang10"/>
          <w:b/>
          <w:color w:val="auto"/>
          <w:sz w:val="28"/>
          <w:szCs w:val="28"/>
        </w:rPr>
        <w:t>Các khoản thu khác còn lại</w:t>
      </w:r>
    </w:p>
    <w:p w:rsidR="00541E34" w:rsidRPr="00E41AE8" w:rsidRDefault="00541E34" w:rsidP="00541E34">
      <w:pPr>
        <w:spacing w:before="120" w:after="120"/>
        <w:ind w:firstLine="709"/>
        <w:jc w:val="both"/>
        <w:rPr>
          <w:rStyle w:val="Vnbnnidung3Gincch0pt"/>
          <w:b w:val="0"/>
          <w:color w:val="auto"/>
          <w:sz w:val="28"/>
          <w:szCs w:val="28"/>
        </w:rPr>
      </w:pPr>
      <w:r w:rsidRPr="00E41AE8">
        <w:rPr>
          <w:rStyle w:val="Ghichcuitrang10"/>
          <w:color w:val="auto"/>
          <w:sz w:val="28"/>
          <w:szCs w:val="28"/>
        </w:rPr>
        <w:t>T</w:t>
      </w:r>
      <w:r w:rsidRPr="00E41AE8">
        <w:rPr>
          <w:rStyle w:val="Vnbnnidung3Gincch0pt"/>
          <w:b w:val="0"/>
          <w:color w:val="auto"/>
          <w:sz w:val="28"/>
          <w:szCs w:val="28"/>
        </w:rPr>
        <w:t>hực hiện 6 tháng là 978,12 triệu đồng, đạt 49% dự toán tỉnh và HĐND huyện giao; bằng 41% so cùng kỳ.</w:t>
      </w:r>
      <w:bookmarkStart w:id="0" w:name="bookmark21"/>
    </w:p>
    <w:p w:rsidR="00541E34" w:rsidRPr="00541E34" w:rsidRDefault="00541E34" w:rsidP="00541E34">
      <w:pPr>
        <w:spacing w:before="120" w:after="120"/>
        <w:ind w:firstLine="709"/>
        <w:jc w:val="both"/>
        <w:rPr>
          <w:b/>
          <w:color w:val="auto"/>
          <w:szCs w:val="28"/>
        </w:rPr>
      </w:pPr>
      <w:r w:rsidRPr="00541E34">
        <w:rPr>
          <w:rStyle w:val="Vnbnnidung3Gincch0pt"/>
          <w:color w:val="auto"/>
          <w:sz w:val="28"/>
          <w:szCs w:val="28"/>
        </w:rPr>
        <w:t xml:space="preserve">9. </w:t>
      </w:r>
      <w:r w:rsidRPr="00541E34">
        <w:rPr>
          <w:b/>
          <w:color w:val="auto"/>
          <w:szCs w:val="28"/>
        </w:rPr>
        <w:t>Thu ngân sách huyện</w:t>
      </w:r>
      <w:bookmarkEnd w:id="0"/>
    </w:p>
    <w:p w:rsidR="00541E34" w:rsidRPr="00E41AE8"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E41AE8">
        <w:rPr>
          <w:rStyle w:val="Vnbnnidung3Gincch0pt"/>
          <w:b w:val="0"/>
          <w:sz w:val="28"/>
          <w:szCs w:val="28"/>
        </w:rPr>
        <w:t>Tổng thu ngân sách huyện HĐND giao đầu năm là: 264.083 triệu đồng; trong đó, thu bổ sung cân đối 190.373 triệu đồng; bổ sung mục tiêu 20.440 triệu đồng; thu ngân sách huyện hưởng theo phân cấp 52.820 triệu đồng; các khoản ghi thu, ghi chi 450 triệu đồng.</w:t>
      </w:r>
    </w:p>
    <w:p w:rsidR="00541E34" w:rsidRPr="00E41AE8" w:rsidRDefault="00541E34" w:rsidP="00541E34">
      <w:pPr>
        <w:pStyle w:val="Vnbnnidung30"/>
        <w:shd w:val="clear" w:color="auto" w:fill="auto"/>
        <w:spacing w:before="120" w:after="120" w:line="240" w:lineRule="auto"/>
        <w:ind w:firstLine="709"/>
        <w:jc w:val="both"/>
        <w:rPr>
          <w:rStyle w:val="Vnbnnidung3Gincch0pt"/>
          <w:b w:val="0"/>
          <w:sz w:val="28"/>
          <w:szCs w:val="28"/>
        </w:rPr>
      </w:pPr>
      <w:r w:rsidRPr="00E41AE8">
        <w:rPr>
          <w:rStyle w:val="Vnbnnidung3Gincch0pt"/>
          <w:b w:val="0"/>
          <w:sz w:val="28"/>
          <w:szCs w:val="28"/>
        </w:rPr>
        <w:t>Thực hiện thu 6 tháng 147.982 triệu đồng, đạt 56% dự toán HĐND huyện giao, trong đó thu ngân sách trên địa bàn 23.168 triệu đồng, đạt 44% dự toán giao; thu bổ sung ngân sách cấp trên 99.528 triệu đồng, đạt 47%dự toán; thu chuyển nguồn 25.286,32 triệu đồng.</w:t>
      </w:r>
    </w:p>
    <w:p w:rsidR="00541E34" w:rsidRPr="00541E34" w:rsidRDefault="00541E34" w:rsidP="00541E34">
      <w:pPr>
        <w:pStyle w:val="Vnbnnidung30"/>
        <w:shd w:val="clear" w:color="auto" w:fill="auto"/>
        <w:spacing w:before="120" w:after="120" w:line="240" w:lineRule="auto"/>
        <w:ind w:firstLine="709"/>
        <w:jc w:val="both"/>
        <w:rPr>
          <w:rFonts w:ascii="Times New Roman" w:hAnsi="Times New Roman"/>
          <w:sz w:val="28"/>
          <w:szCs w:val="28"/>
        </w:rPr>
      </w:pPr>
      <w:r w:rsidRPr="00541E34">
        <w:rPr>
          <w:rStyle w:val="Vnbnnidung3Gincch0pt"/>
          <w:sz w:val="28"/>
          <w:szCs w:val="28"/>
        </w:rPr>
        <w:t xml:space="preserve">II. </w:t>
      </w:r>
      <w:r w:rsidRPr="00541E34">
        <w:rPr>
          <w:rFonts w:ascii="Times New Roman" w:hAnsi="Times New Roman"/>
          <w:sz w:val="28"/>
          <w:szCs w:val="28"/>
        </w:rPr>
        <w:t>Tình hình thực hiện chi ngân sách</w:t>
      </w:r>
    </w:p>
    <w:p w:rsidR="00541E34" w:rsidRPr="00541E34"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E41AE8">
        <w:rPr>
          <w:rStyle w:val="Vnbnnidung3Gincch0pt"/>
          <w:b w:val="0"/>
          <w:sz w:val="28"/>
          <w:szCs w:val="28"/>
        </w:rPr>
        <w:t>Dự toán năm 2017, UBND tỉnh giao 259.439 triệu đồng, trong đó chi cân đối ngân sách là 238.999 triệu đồng, bổ sung có mục tiêu là 20.440 triệu đồng, chi quản lý qua ngân sách nhà nước 450 triệu đồng;</w:t>
      </w:r>
      <w:r w:rsidRPr="00541E34">
        <w:rPr>
          <w:rStyle w:val="Vnbnnidung3Gincch0pt"/>
          <w:sz w:val="28"/>
          <w:szCs w:val="28"/>
        </w:rPr>
        <w:t xml:space="preserve"> </w:t>
      </w:r>
      <w:r w:rsidRPr="00541E34">
        <w:rPr>
          <w:rStyle w:val="Ghichcuitrang10"/>
          <w:rFonts w:ascii="Times New Roman" w:hAnsi="Times New Roman"/>
          <w:b w:val="0"/>
          <w:sz w:val="28"/>
          <w:szCs w:val="28"/>
        </w:rPr>
        <w:t>Nghị quyết HĐND huyện giao 264.083 triệu đồng, tăng hon so với tỉnh giao 4.644 triệu đồng. Dự toán có điều chỉnh bổ sung 6 tháng đầu năm 356.923 triệu đồng.</w:t>
      </w:r>
    </w:p>
    <w:p w:rsidR="00541E34" w:rsidRPr="00E41AE8"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E41AE8">
        <w:rPr>
          <w:rStyle w:val="Vnbnnidung3Gincch0pt"/>
          <w:b w:val="0"/>
          <w:sz w:val="28"/>
          <w:szCs w:val="28"/>
        </w:rPr>
        <w:t>Thực hiện chi ngân sách 6 tháng 121.823 triệu đồng, đạt 46% so dự toán và 34% so nhiệm vụ chi, bằng 110% so cùng kỳ.</w:t>
      </w:r>
    </w:p>
    <w:p w:rsidR="00541E34" w:rsidRPr="00541E34" w:rsidRDefault="00541E34" w:rsidP="00541E34">
      <w:pPr>
        <w:pStyle w:val="Vnbnnidung30"/>
        <w:shd w:val="clear" w:color="auto" w:fill="auto"/>
        <w:spacing w:before="120" w:after="120" w:line="240" w:lineRule="auto"/>
        <w:ind w:firstLine="709"/>
        <w:jc w:val="both"/>
        <w:rPr>
          <w:rStyle w:val="Ghichcuitrang10"/>
          <w:rFonts w:ascii="Times New Roman" w:hAnsi="Times New Roman"/>
          <w:sz w:val="28"/>
          <w:szCs w:val="28"/>
        </w:rPr>
      </w:pPr>
      <w:r w:rsidRPr="00541E34">
        <w:rPr>
          <w:rFonts w:ascii="Times New Roman" w:hAnsi="Times New Roman"/>
          <w:sz w:val="28"/>
          <w:szCs w:val="28"/>
        </w:rPr>
        <w:t xml:space="preserve">1. </w:t>
      </w:r>
      <w:r w:rsidRPr="00541E34">
        <w:rPr>
          <w:rStyle w:val="Ghichcuitrang10"/>
          <w:rFonts w:ascii="Times New Roman" w:hAnsi="Times New Roman"/>
          <w:sz w:val="28"/>
          <w:szCs w:val="28"/>
        </w:rPr>
        <w:t>Chi đầu tư phát triển</w:t>
      </w:r>
    </w:p>
    <w:p w:rsidR="00541E34" w:rsidRPr="00E41AE8"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E41AE8">
        <w:rPr>
          <w:rStyle w:val="Vnbnnidung3Gincch0pt"/>
          <w:b w:val="0"/>
          <w:sz w:val="28"/>
          <w:szCs w:val="28"/>
        </w:rPr>
        <w:t>Thực hiện 6 tháng 14.563 triệu đồng, đạt 50% so dự toán và 35</w:t>
      </w:r>
      <w:r w:rsidRPr="00E41AE8">
        <w:rPr>
          <w:rStyle w:val="Ghichcuitrang10"/>
          <w:rFonts w:ascii="Times New Roman" w:hAnsi="Times New Roman"/>
          <w:b w:val="0"/>
          <w:sz w:val="28"/>
          <w:szCs w:val="28"/>
        </w:rPr>
        <w:t>%</w:t>
      </w:r>
      <w:r w:rsidRPr="00E41AE8">
        <w:rPr>
          <w:rStyle w:val="Vnbnnidung3Gincch0pt"/>
          <w:b w:val="0"/>
          <w:sz w:val="28"/>
          <w:szCs w:val="28"/>
        </w:rPr>
        <w:t xml:space="preserve"> nhiệm vụ chi, bằng 108% so cùng kỳ.</w:t>
      </w:r>
    </w:p>
    <w:p w:rsidR="00541E34" w:rsidRPr="00541E34" w:rsidRDefault="00541E34" w:rsidP="00541E34">
      <w:pPr>
        <w:pStyle w:val="Vnbnnidung30"/>
        <w:shd w:val="clear" w:color="auto" w:fill="auto"/>
        <w:spacing w:before="120" w:after="120" w:line="240" w:lineRule="auto"/>
        <w:ind w:firstLine="709"/>
        <w:jc w:val="both"/>
        <w:rPr>
          <w:rStyle w:val="Ghichcuitrang10"/>
          <w:rFonts w:ascii="Times New Roman" w:hAnsi="Times New Roman"/>
          <w:sz w:val="28"/>
          <w:szCs w:val="28"/>
        </w:rPr>
      </w:pPr>
      <w:r w:rsidRPr="00541E34">
        <w:rPr>
          <w:rFonts w:ascii="Times New Roman" w:hAnsi="Times New Roman"/>
          <w:sz w:val="28"/>
          <w:szCs w:val="28"/>
        </w:rPr>
        <w:t xml:space="preserve">2. </w:t>
      </w:r>
      <w:r w:rsidRPr="00541E34">
        <w:rPr>
          <w:rStyle w:val="Ghichcuitrang10"/>
          <w:rFonts w:ascii="Times New Roman" w:hAnsi="Times New Roman"/>
          <w:sz w:val="28"/>
          <w:szCs w:val="28"/>
        </w:rPr>
        <w:t>Chi thường xuyên</w:t>
      </w:r>
    </w:p>
    <w:p w:rsidR="00541E34" w:rsidRPr="00541E34" w:rsidRDefault="00541E34" w:rsidP="00541E34">
      <w:pPr>
        <w:pStyle w:val="Vnbnnidung30"/>
        <w:shd w:val="clear" w:color="auto" w:fill="auto"/>
        <w:spacing w:before="120" w:after="120" w:line="240" w:lineRule="auto"/>
        <w:ind w:firstLine="709"/>
        <w:jc w:val="both"/>
        <w:rPr>
          <w:rStyle w:val="Vnbnnidung3Gincch0pt"/>
          <w:b w:val="0"/>
          <w:sz w:val="28"/>
          <w:szCs w:val="28"/>
        </w:rPr>
      </w:pPr>
      <w:r w:rsidRPr="00E41AE8">
        <w:rPr>
          <w:rStyle w:val="Vnbnnidung3Gincch0pt"/>
          <w:b w:val="0"/>
          <w:sz w:val="28"/>
          <w:szCs w:val="28"/>
        </w:rPr>
        <w:t>Thực hiện 6 tháng 107.260 triệu đồng, đạt 47% dự toán và 39% so nhiệm vụ chi, bằng 110% so cùng kỳ.</w:t>
      </w:r>
    </w:p>
    <w:p w:rsidR="00541E34" w:rsidRPr="00541E34" w:rsidRDefault="00541E34" w:rsidP="00541E34">
      <w:pPr>
        <w:pStyle w:val="Vnbnnidung30"/>
        <w:shd w:val="clear" w:color="auto" w:fill="auto"/>
        <w:spacing w:before="120" w:after="120" w:line="240" w:lineRule="auto"/>
        <w:ind w:firstLine="709"/>
        <w:jc w:val="both"/>
        <w:rPr>
          <w:rFonts w:ascii="Times New Roman" w:hAnsi="Times New Roman"/>
          <w:sz w:val="28"/>
          <w:szCs w:val="28"/>
        </w:rPr>
      </w:pPr>
      <w:r w:rsidRPr="00541E34">
        <w:rPr>
          <w:rStyle w:val="Vnbnnidung3Gincch0pt"/>
          <w:sz w:val="28"/>
          <w:szCs w:val="28"/>
        </w:rPr>
        <w:lastRenderedPageBreak/>
        <w:t xml:space="preserve">II. </w:t>
      </w:r>
      <w:r w:rsidRPr="00541E34">
        <w:rPr>
          <w:rFonts w:ascii="Times New Roman" w:hAnsi="Times New Roman"/>
          <w:sz w:val="28"/>
          <w:szCs w:val="28"/>
        </w:rPr>
        <w:t>Đánh giá tình hình thực hiện thu, chi ngân sách 6 tháng năm 2017</w:t>
      </w:r>
    </w:p>
    <w:p w:rsidR="00541E34" w:rsidRPr="00541E34" w:rsidRDefault="00541E34" w:rsidP="00541E34">
      <w:pPr>
        <w:pStyle w:val="Tiu60"/>
        <w:keepNext/>
        <w:keepLines/>
        <w:shd w:val="clear" w:color="auto" w:fill="auto"/>
        <w:tabs>
          <w:tab w:val="left" w:pos="1274"/>
        </w:tabs>
        <w:spacing w:line="240" w:lineRule="auto"/>
        <w:ind w:firstLine="709"/>
        <w:rPr>
          <w:rFonts w:ascii="Times New Roman" w:hAnsi="Times New Roman"/>
          <w:sz w:val="28"/>
        </w:rPr>
      </w:pPr>
      <w:bookmarkStart w:id="1" w:name="bookmark22"/>
      <w:r w:rsidRPr="00541E34">
        <w:rPr>
          <w:rFonts w:ascii="Times New Roman" w:hAnsi="Times New Roman"/>
          <w:sz w:val="28"/>
        </w:rPr>
        <w:t>1. Phần thu</w:t>
      </w:r>
      <w:bookmarkEnd w:id="1"/>
    </w:p>
    <w:p w:rsidR="00541E34" w:rsidRPr="00541E34" w:rsidRDefault="00541E34" w:rsidP="00541E34">
      <w:pPr>
        <w:pStyle w:val="Vnbnnidung70"/>
        <w:shd w:val="clear" w:color="auto" w:fill="auto"/>
        <w:spacing w:before="120" w:after="120" w:line="240" w:lineRule="auto"/>
        <w:ind w:firstLine="709"/>
        <w:rPr>
          <w:rFonts w:ascii="Times New Roman" w:hAnsi="Times New Roman"/>
          <w:sz w:val="28"/>
        </w:rPr>
      </w:pPr>
      <w:r w:rsidRPr="00541E34">
        <w:rPr>
          <w:rFonts w:ascii="Times New Roman" w:hAnsi="Times New Roman"/>
          <w:sz w:val="28"/>
        </w:rPr>
        <w:t>1.1. Thu ngân sách trên địa bàn</w:t>
      </w:r>
    </w:p>
    <w:p w:rsidR="00541E34" w:rsidRPr="00E41AE8"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E41AE8">
        <w:rPr>
          <w:rStyle w:val="Vnbnnidung3Gincch0pt"/>
          <w:b w:val="0"/>
          <w:sz w:val="28"/>
          <w:szCs w:val="28"/>
        </w:rPr>
        <w:t>Đánh giá tổng thể chung về tình hình thực hiện thu ngân sách 6 tháng năm 2017 cơ bản theo tiến độ, đạt 55% so dự toán tỉnh giao và 50% dự toán huyện giao, trong đó: Chi cục thuế thu đạt 64% dự toán tỉnh giao và 50% dự toán huyện giao; Văn phòng Cục thuế thu đạt 50,1% dự toán. Tuy nhiên, chi tiết theo từng lĩnh vực thì có một số lĩnh vực thu còn đạt thấp như: thu từ thành phần kinh tế ngoài quốc doanh chỉ đạt 41% so dự toán tỉnh và 39% so dự toán huyện giao; Thu phí, lệ phí chỉ đạt 37% dự toán tỉnh và huyện giao; thu khác còn lại còn đạt thấp 49%.</w:t>
      </w:r>
    </w:p>
    <w:p w:rsidR="00541E34" w:rsidRPr="00E41AE8"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E41AE8">
        <w:rPr>
          <w:rStyle w:val="Vnbnnidung3Gincch0pt"/>
          <w:b w:val="0"/>
          <w:sz w:val="28"/>
          <w:szCs w:val="28"/>
        </w:rPr>
        <w:t>Nguyên nhân đạt thấp chủ yếu nguồn thu từ thành phần kinh tế ngoài quốc doanh do Văn phòng Cục thuế thu 6 tháng chỉ đạt 36,22% dự toán; phần Chi cục thuế huyện thu so dự toán HĐND huyện giao chỉ mới đạt 47% dự toán.</w:t>
      </w:r>
    </w:p>
    <w:p w:rsidR="00541E34" w:rsidRPr="00541E34" w:rsidRDefault="00541E34" w:rsidP="00541E34">
      <w:pPr>
        <w:pStyle w:val="Tiu60"/>
        <w:keepNext/>
        <w:keepLines/>
        <w:shd w:val="clear" w:color="auto" w:fill="auto"/>
        <w:spacing w:line="240" w:lineRule="auto"/>
        <w:ind w:firstLine="709"/>
        <w:rPr>
          <w:rFonts w:ascii="Times New Roman" w:hAnsi="Times New Roman"/>
          <w:sz w:val="28"/>
        </w:rPr>
      </w:pPr>
      <w:bookmarkStart w:id="2" w:name="bookmark23"/>
      <w:r w:rsidRPr="00541E34">
        <w:rPr>
          <w:rFonts w:ascii="Times New Roman" w:hAnsi="Times New Roman"/>
          <w:sz w:val="28"/>
        </w:rPr>
        <w:t>1.2. Thu ngân sách trên địa bàn huyện hưởng</w:t>
      </w:r>
      <w:bookmarkEnd w:id="2"/>
    </w:p>
    <w:p w:rsidR="00541E34" w:rsidRPr="00E41AE8"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E41AE8">
        <w:rPr>
          <w:rStyle w:val="Vnbnnidung3Gincch0pt"/>
          <w:b w:val="0"/>
          <w:sz w:val="28"/>
          <w:szCs w:val="28"/>
        </w:rPr>
        <w:t>Nguồn thu ngân sách trên địa bàn huyện hưởng 6 tháng còn đạt thấp 44%, trong đó các chỉ tiêu thu đạt thấp ảnh hưởng đến nguồn cân đối ngân sách huyện hưởng, gồm: nguồn thu từ thành phần kinh tế ngoài quốc doanh do Văn phòng Cục thuế thu 6 tháng chỉ đạt 36,22% dự toán, phần Chi cục thuế huyện thu so dự toán HĐND huyện giao chỉ mới đạt 47% dự toán và các khoản thu như: phí, lệ phí đạt 37%, các khoản thu khác gồm: Thuế phi nông nghiệp đạt 31%; thu cho thuê mặt đất, mặt nước đạt 13%; thu khác ngân sách đạt 36%.</w:t>
      </w:r>
    </w:p>
    <w:p w:rsidR="00541E34" w:rsidRPr="00E41AE8" w:rsidRDefault="00541E34" w:rsidP="00541E34">
      <w:pPr>
        <w:pStyle w:val="Tiu60"/>
        <w:keepNext/>
        <w:keepLines/>
        <w:shd w:val="clear" w:color="auto" w:fill="auto"/>
        <w:spacing w:line="240" w:lineRule="auto"/>
        <w:ind w:firstLine="709"/>
        <w:rPr>
          <w:rFonts w:ascii="Times New Roman" w:hAnsi="Times New Roman"/>
          <w:sz w:val="28"/>
        </w:rPr>
      </w:pPr>
      <w:bookmarkStart w:id="3" w:name="bookmark24"/>
      <w:r w:rsidRPr="00E41AE8">
        <w:rPr>
          <w:rFonts w:ascii="Times New Roman" w:hAnsi="Times New Roman"/>
          <w:sz w:val="28"/>
        </w:rPr>
        <w:t>2. Phần chi</w:t>
      </w:r>
      <w:bookmarkEnd w:id="3"/>
    </w:p>
    <w:p w:rsidR="00541E34" w:rsidRPr="00E41AE8"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E41AE8">
        <w:rPr>
          <w:rStyle w:val="Vnbnnidung3Gincch0pt"/>
          <w:b w:val="0"/>
          <w:sz w:val="28"/>
          <w:szCs w:val="28"/>
        </w:rPr>
        <w:t>Tình hình thực hiện dự toán chi ngân sách 6 tháng cơ bản thực hiện theo tiến độ, đáp ứng yêu cầu nhiệm vụ phát triển kinh tế - xã hội trên địa bàn.</w:t>
      </w:r>
    </w:p>
    <w:p w:rsidR="00541E34" w:rsidRPr="00541E34" w:rsidRDefault="00541E34" w:rsidP="00541E34">
      <w:pPr>
        <w:pStyle w:val="Vnbnnidung70"/>
        <w:shd w:val="clear" w:color="auto" w:fill="auto"/>
        <w:spacing w:before="120" w:after="120" w:line="240" w:lineRule="auto"/>
        <w:ind w:firstLine="709"/>
        <w:rPr>
          <w:rFonts w:ascii="Times New Roman" w:hAnsi="Times New Roman"/>
          <w:sz w:val="28"/>
        </w:rPr>
      </w:pPr>
      <w:r w:rsidRPr="00541E34">
        <w:rPr>
          <w:rFonts w:ascii="Times New Roman" w:hAnsi="Times New Roman"/>
          <w:sz w:val="28"/>
        </w:rPr>
        <w:t>B. Biện pháp triển khai nhiệm vụ 6 tháng cuối năm 2017</w:t>
      </w:r>
    </w:p>
    <w:p w:rsidR="00541E34" w:rsidRPr="00E41AE8" w:rsidRDefault="00541E34" w:rsidP="00541E34">
      <w:pPr>
        <w:pStyle w:val="Vnbnnidung30"/>
        <w:shd w:val="clear" w:color="auto" w:fill="auto"/>
        <w:spacing w:before="120" w:after="120" w:line="240" w:lineRule="auto"/>
        <w:ind w:firstLine="709"/>
        <w:jc w:val="both"/>
        <w:rPr>
          <w:rStyle w:val="Vnbnnidung3Gincch0pt"/>
          <w:b w:val="0"/>
          <w:sz w:val="28"/>
          <w:szCs w:val="28"/>
        </w:rPr>
      </w:pPr>
      <w:r w:rsidRPr="00E41AE8">
        <w:rPr>
          <w:rStyle w:val="Vnbnnidung3Gincch0pt"/>
          <w:b w:val="0"/>
          <w:sz w:val="28"/>
          <w:szCs w:val="28"/>
        </w:rPr>
        <w:t>Để đảm bảo hoàn thành nhiệm vụ thu, chi ngân sách nhà nước năm 2017, góp phần thực hiện thắng lợi các chỉ tiêu Nghị quyết HĐND huyện, 6 tháng cuối năm 2017 cần thực hiện tốt các nội dung sau:</w:t>
      </w:r>
      <w:bookmarkStart w:id="4" w:name="bookmark25"/>
    </w:p>
    <w:p w:rsidR="00541E34" w:rsidRPr="00541E34" w:rsidRDefault="00541E34" w:rsidP="00541E34">
      <w:pPr>
        <w:pStyle w:val="Vnbnnidung30"/>
        <w:shd w:val="clear" w:color="auto" w:fill="auto"/>
        <w:spacing w:before="120" w:after="120" w:line="240" w:lineRule="auto"/>
        <w:ind w:firstLine="709"/>
        <w:jc w:val="both"/>
        <w:rPr>
          <w:rFonts w:ascii="Times New Roman" w:hAnsi="Times New Roman"/>
          <w:sz w:val="28"/>
          <w:szCs w:val="28"/>
        </w:rPr>
      </w:pPr>
      <w:r w:rsidRPr="00541E34">
        <w:rPr>
          <w:rStyle w:val="Vnbnnidung3Gincch0pt"/>
          <w:sz w:val="28"/>
          <w:szCs w:val="28"/>
        </w:rPr>
        <w:t>1. V</w:t>
      </w:r>
      <w:r w:rsidRPr="00541E34">
        <w:rPr>
          <w:rFonts w:ascii="Times New Roman" w:hAnsi="Times New Roman"/>
          <w:sz w:val="28"/>
          <w:szCs w:val="28"/>
        </w:rPr>
        <w:t>ề thu ngân sách</w:t>
      </w:r>
      <w:bookmarkEnd w:id="4"/>
    </w:p>
    <w:p w:rsidR="00541E34" w:rsidRPr="00E41AE8"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E41AE8">
        <w:rPr>
          <w:rStyle w:val="Vnbnnidung3Gincch0pt"/>
          <w:b w:val="0"/>
          <w:sz w:val="28"/>
          <w:szCs w:val="28"/>
        </w:rPr>
        <w:t>Chi cục Thuế chủ trì, phối hợp với phòng Tài chính – Kế hoạch, các phòng ban liên quan và UBND các xã, thị trấn tập trung rà soát lại hoạt động kinh doanh trên địa bàn; khai thác triệt để các nguồn thu, chống thất thu ngân sách; tập trung mọi biện pháp thu kịp thời các khoản thuế, thu nợ đọng thuế nhất là đối với thuế GTGT của các doanh nghiệp, hộ kinh doanh, hộ thầu xây dựng nhà ở tư nhân, thuế GTGT của các đơn vị XDCB vãng lai phát sinh trên địa bàn huyện; khai thác thu nợ thuế nhà đất, thuế sử dụng đất phi nông nghiệp... nhằm hoàn thành và vượt chỉ tiêu kế hoạch, đáp ứng yêu cầu, nhiệm vụ chi ngân sách năm 2017.</w:t>
      </w:r>
    </w:p>
    <w:p w:rsidR="00541E34" w:rsidRPr="00E41AE8" w:rsidRDefault="00541E34" w:rsidP="00541E34">
      <w:pPr>
        <w:pStyle w:val="Vnbnnidung30"/>
        <w:shd w:val="clear" w:color="auto" w:fill="auto"/>
        <w:spacing w:before="120" w:after="120" w:line="240" w:lineRule="auto"/>
        <w:ind w:firstLine="709"/>
        <w:jc w:val="both"/>
        <w:rPr>
          <w:rStyle w:val="Vnbnnidung3Gincch0pt"/>
          <w:b w:val="0"/>
          <w:sz w:val="28"/>
          <w:szCs w:val="28"/>
        </w:rPr>
      </w:pPr>
      <w:r w:rsidRPr="00E41AE8">
        <w:rPr>
          <w:rStyle w:val="Vnbnnidung3Gincch0pt"/>
          <w:b w:val="0"/>
          <w:sz w:val="28"/>
          <w:szCs w:val="28"/>
        </w:rPr>
        <w:t xml:space="preserve">Tiếp tục tổ chức đấu giá đất tại các Dự án khu dân cư thôn 3, Dự án khu dân cư thôn 1 thị trấn, Dự án khai thác nhỏ lẻ trên địa bàn và đấu giá tại Khu trung tâm </w:t>
      </w:r>
      <w:r w:rsidRPr="00E41AE8">
        <w:rPr>
          <w:rStyle w:val="Vnbnnidung3Gincch0pt"/>
          <w:b w:val="0"/>
          <w:sz w:val="28"/>
          <w:szCs w:val="28"/>
        </w:rPr>
        <w:lastRenderedPageBreak/>
        <w:t>thương mại huyện, nhằm tăng thu ngân sách để đầu tư cơ sở hạ tầng và thực hiện nhiệm vụ phát triển kinh tế - xã hội trên địa bàn huyện.</w:t>
      </w:r>
      <w:bookmarkStart w:id="5" w:name="bookmark26"/>
    </w:p>
    <w:p w:rsidR="00541E34" w:rsidRPr="00541E34" w:rsidRDefault="00541E34" w:rsidP="00541E34">
      <w:pPr>
        <w:pStyle w:val="Vnbnnidung30"/>
        <w:shd w:val="clear" w:color="auto" w:fill="auto"/>
        <w:spacing w:before="120" w:after="120" w:line="240" w:lineRule="auto"/>
        <w:ind w:firstLine="709"/>
        <w:jc w:val="both"/>
        <w:rPr>
          <w:rFonts w:ascii="Times New Roman" w:hAnsi="Times New Roman"/>
          <w:sz w:val="28"/>
          <w:szCs w:val="28"/>
        </w:rPr>
      </w:pPr>
      <w:r w:rsidRPr="00541E34">
        <w:rPr>
          <w:rStyle w:val="Vnbnnidung3Gincch0pt"/>
          <w:sz w:val="28"/>
          <w:szCs w:val="28"/>
        </w:rPr>
        <w:t xml:space="preserve">2. </w:t>
      </w:r>
      <w:r w:rsidRPr="00541E34">
        <w:rPr>
          <w:rFonts w:ascii="Times New Roman" w:hAnsi="Times New Roman"/>
          <w:sz w:val="28"/>
          <w:szCs w:val="28"/>
        </w:rPr>
        <w:t>Về nhiệm vụ chi</w:t>
      </w:r>
      <w:bookmarkEnd w:id="5"/>
    </w:p>
    <w:p w:rsidR="00541E34" w:rsidRPr="00E41AE8"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E41AE8">
        <w:rPr>
          <w:rStyle w:val="Vnbnnidung3Gincch0pt"/>
          <w:b w:val="0"/>
          <w:sz w:val="28"/>
          <w:szCs w:val="28"/>
        </w:rPr>
        <w:t>Tiếp tục thực hiện các Chương trình hành động về những giải pháp kiềm chế lạm phát, ổn định kinh tế vĩ mô, đảm bảo an sinh xã hội.</w:t>
      </w:r>
    </w:p>
    <w:p w:rsidR="00541E34" w:rsidRPr="00541E34" w:rsidRDefault="00541E34" w:rsidP="00541E34">
      <w:pPr>
        <w:pStyle w:val="Vnbnnidung30"/>
        <w:shd w:val="clear" w:color="auto" w:fill="auto"/>
        <w:spacing w:before="120" w:after="120" w:line="240" w:lineRule="auto"/>
        <w:ind w:firstLine="709"/>
        <w:jc w:val="both"/>
        <w:rPr>
          <w:rStyle w:val="Vnbnnidung5"/>
          <w:b w:val="0"/>
          <w:bCs w:val="0"/>
        </w:rPr>
      </w:pPr>
      <w:r w:rsidRPr="00E41AE8">
        <w:rPr>
          <w:rStyle w:val="Vnbnnidung3Gincch0pt"/>
          <w:b w:val="0"/>
          <w:sz w:val="28"/>
          <w:szCs w:val="28"/>
        </w:rPr>
        <w:t>Tình hình thu ngân sách 2017 đang rất khó khăn, đề nghị các đơn vị dự toán, UBND các xã, thị trấn chủ động xử lý, sắp xếp các nhiệm vụ chi, kể cả nhiệm vụ phát sinh trong phạm vi dự toán được giao; trước hết ưu tiên quỹ tiền lương, phụ cấp, các khoản có tính chất như lương và đảm bảo an sinh xã hội; giãn tiến độ thực hiện các nhiệm vụ chưa cấp thiết vào cuối năm, chỉ thực hện khi cân đối được nguồn; dừng thực hiện và huỷ bỏ đối với khoản kinh phí mua sắm, sữa chữa đã bố trí dự toán ngân sách giao đầu năm nhưng đến 30/6/2017 chưa triển khai thực hiện, chưa phê duyệt dự toán, chưa thực hiện bất kỳ công việc nào của công tác tổ chức lựa chọn nhà thầu theo</w:t>
      </w:r>
      <w:r w:rsidRPr="00541E34">
        <w:rPr>
          <w:rStyle w:val="Vnbnnidung3Gincch0pt"/>
          <w:sz w:val="28"/>
          <w:szCs w:val="28"/>
        </w:rPr>
        <w:t xml:space="preserve"> </w:t>
      </w:r>
      <w:r w:rsidRPr="00541E34">
        <w:rPr>
          <w:rStyle w:val="Vnbnnidung5"/>
          <w:b w:val="0"/>
          <w:bCs w:val="0"/>
        </w:rPr>
        <w:t>quy định của Luật đấu thầu và các văn bản hướng dẫn Luật để bổ sung vào dự phòng xử lý tình trạng hụt thu ngân sách (nếu có).</w:t>
      </w:r>
    </w:p>
    <w:p w:rsidR="00541E34" w:rsidRPr="00541E34" w:rsidRDefault="00541E34" w:rsidP="00541E34">
      <w:pPr>
        <w:pStyle w:val="Vnbnnidung30"/>
        <w:shd w:val="clear" w:color="auto" w:fill="auto"/>
        <w:spacing w:before="120" w:after="120" w:line="240" w:lineRule="auto"/>
        <w:ind w:firstLine="709"/>
        <w:jc w:val="both"/>
        <w:rPr>
          <w:rFonts w:ascii="Times New Roman" w:hAnsi="Times New Roman"/>
          <w:b w:val="0"/>
          <w:bCs w:val="0"/>
          <w:sz w:val="28"/>
          <w:szCs w:val="28"/>
        </w:rPr>
      </w:pPr>
      <w:r w:rsidRPr="00541E34">
        <w:rPr>
          <w:rFonts w:ascii="Times New Roman" w:hAnsi="Times New Roman"/>
          <w:b w:val="0"/>
          <w:sz w:val="28"/>
          <w:szCs w:val="28"/>
        </w:rPr>
        <w:t xml:space="preserve">Rà soát, tổng hợp nhu cầu, nguồn thực hiện cải cách tiền lương và các chính sách an sinh xã hội phát sinh trong năm 2017 trình UBND huyện xem xét xử lý tạm ứng; đồng thời báo cáo </w:t>
      </w:r>
      <w:r w:rsidRPr="00541E34">
        <w:rPr>
          <w:rStyle w:val="Ghichcuitrang10"/>
          <w:rFonts w:ascii="Times New Roman" w:hAnsi="Times New Roman"/>
          <w:b w:val="0"/>
          <w:sz w:val="28"/>
          <w:szCs w:val="28"/>
        </w:rPr>
        <w:t xml:space="preserve">Sở </w:t>
      </w:r>
      <w:r w:rsidRPr="00541E34">
        <w:rPr>
          <w:rFonts w:ascii="Times New Roman" w:hAnsi="Times New Roman"/>
          <w:b w:val="0"/>
          <w:sz w:val="28"/>
          <w:szCs w:val="28"/>
        </w:rPr>
        <w:t>Tài chính tổng hợp bổ sung nguồn kinh phí.</w:t>
      </w:r>
    </w:p>
    <w:p w:rsidR="00541E34" w:rsidRPr="00541E34"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541E34">
        <w:rPr>
          <w:rFonts w:ascii="Times New Roman" w:hAnsi="Times New Roman"/>
          <w:b w:val="0"/>
          <w:sz w:val="28"/>
          <w:szCs w:val="28"/>
        </w:rPr>
        <w:t>Hạn chế tối đa bổ sung chi thường xuyên ngoài dự toán.</w:t>
      </w:r>
    </w:p>
    <w:p w:rsidR="00541E34" w:rsidRPr="00541E34"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541E34">
        <w:rPr>
          <w:rFonts w:ascii="Times New Roman" w:hAnsi="Times New Roman"/>
          <w:b w:val="0"/>
          <w:sz w:val="28"/>
          <w:szCs w:val="28"/>
        </w:rPr>
        <w:t>Thực hiện tốt Luật Thực hành tiết kiệm, chống lãng phí, bảo đảm công khai, minh bạch trong sử dụng ngân sách nhà nước.</w:t>
      </w:r>
    </w:p>
    <w:p w:rsidR="00541E34" w:rsidRPr="00541E34"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541E34">
        <w:rPr>
          <w:rFonts w:ascii="Times New Roman" w:hAnsi="Times New Roman"/>
          <w:b w:val="0"/>
          <w:sz w:val="28"/>
          <w:szCs w:val="28"/>
        </w:rPr>
        <w:t>Chỉ đạo triệt để, tập trung đẩy nhanh tiến độ thực hiện, giải ngân nguồn vốn đầu tư XDCB và chương trình MTQG giảm nghèo, CTMTQG NTM và các chính sách hỗ trợ khác... đảm bảo kịp thời theo tiến độ quy định của Nhà nước.</w:t>
      </w:r>
    </w:p>
    <w:p w:rsidR="00541E34" w:rsidRPr="00541E34"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541E34">
        <w:rPr>
          <w:rFonts w:ascii="Times New Roman" w:hAnsi="Times New Roman"/>
          <w:b w:val="0"/>
          <w:sz w:val="28"/>
          <w:szCs w:val="28"/>
        </w:rPr>
        <w:t>Tăng cường công tác quyết toán vốn đầu tư các công trình hoàn thành đưa vào sử dụng, thanh quyết toán dứt điểm các dự án, công trình từ năm 2016 trở về trước.</w:t>
      </w:r>
    </w:p>
    <w:p w:rsidR="00541E34" w:rsidRPr="00541E34" w:rsidRDefault="00541E34" w:rsidP="00541E34">
      <w:pPr>
        <w:pStyle w:val="Vnbnnidung30"/>
        <w:shd w:val="clear" w:color="auto" w:fill="auto"/>
        <w:spacing w:before="120" w:after="120" w:line="240" w:lineRule="auto"/>
        <w:ind w:firstLine="709"/>
        <w:jc w:val="both"/>
        <w:rPr>
          <w:rFonts w:ascii="Times New Roman" w:hAnsi="Times New Roman"/>
          <w:b w:val="0"/>
          <w:sz w:val="28"/>
          <w:szCs w:val="28"/>
        </w:rPr>
      </w:pPr>
      <w:r w:rsidRPr="00541E34">
        <w:rPr>
          <w:rFonts w:ascii="Times New Roman" w:hAnsi="Times New Roman"/>
          <w:b w:val="0"/>
          <w:sz w:val="28"/>
          <w:szCs w:val="28"/>
        </w:rPr>
        <w:t>Kiểm tra, hướng dẫn UBND các xã, thị trấn thực nhiệm vụ thu, chi ngân sách năm 2017 và chuẩn bị các điều kiện cần thiết cho việc thực hiện dự toán toán ngân sách Nhà nước năm 2018.</w:t>
      </w:r>
    </w:p>
    <w:p w:rsidR="00541E34" w:rsidRPr="000D2B40" w:rsidRDefault="00541E34" w:rsidP="00541E34">
      <w:pPr>
        <w:spacing w:before="120" w:after="120"/>
        <w:ind w:firstLine="709"/>
        <w:jc w:val="both"/>
        <w:rPr>
          <w:color w:val="auto"/>
          <w:szCs w:val="28"/>
        </w:rPr>
      </w:pPr>
      <w:r w:rsidRPr="00541E34">
        <w:rPr>
          <w:color w:val="auto"/>
          <w:szCs w:val="28"/>
        </w:rPr>
        <w:t>Trên đây là tình hình thực hiện dự toán thu, chi ngân sách 6 tháng đầu năm và biện pháp triển khai nhiệm vụ 6 tháng cuối năm 2017. UBND huyện báo cáo HĐND huyện khóa X, kỳ họp thứ 4 xem xét./.</w:t>
      </w:r>
    </w:p>
    <w:tbl>
      <w:tblPr>
        <w:tblW w:w="9619" w:type="dxa"/>
        <w:tblInd w:w="108" w:type="dxa"/>
        <w:tblLook w:val="01E0"/>
      </w:tblPr>
      <w:tblGrid>
        <w:gridCol w:w="4713"/>
        <w:gridCol w:w="4906"/>
      </w:tblGrid>
      <w:tr w:rsidR="00541E34" w:rsidRPr="000D2B40" w:rsidTr="00A0367B">
        <w:trPr>
          <w:trHeight w:val="1098"/>
        </w:trPr>
        <w:tc>
          <w:tcPr>
            <w:tcW w:w="4713" w:type="dxa"/>
            <w:hideMark/>
          </w:tcPr>
          <w:p w:rsidR="00541E34" w:rsidRPr="000D2B40" w:rsidRDefault="00541E34" w:rsidP="00A0367B">
            <w:pPr>
              <w:tabs>
                <w:tab w:val="center" w:pos="1620"/>
              </w:tabs>
              <w:rPr>
                <w:b/>
                <w:i/>
                <w:color w:val="auto"/>
                <w:lang w:val="vi-VN"/>
              </w:rPr>
            </w:pPr>
            <w:r w:rsidRPr="000D2B40">
              <w:rPr>
                <w:b/>
                <w:i/>
                <w:color w:val="auto"/>
              </w:rPr>
              <w:t>Nơi nhận:</w:t>
            </w:r>
          </w:p>
          <w:p w:rsidR="00541E34" w:rsidRPr="000D2B40" w:rsidRDefault="00541E34" w:rsidP="00A0367B">
            <w:pPr>
              <w:tabs>
                <w:tab w:val="center" w:pos="1620"/>
              </w:tabs>
              <w:rPr>
                <w:color w:val="auto"/>
                <w:sz w:val="22"/>
              </w:rPr>
            </w:pPr>
            <w:r w:rsidRPr="000D2B40">
              <w:rPr>
                <w:color w:val="auto"/>
                <w:sz w:val="22"/>
                <w:szCs w:val="22"/>
              </w:rPr>
              <w:t>- HĐND huyện;</w:t>
            </w:r>
          </w:p>
          <w:p w:rsidR="00541E34" w:rsidRPr="000D2B40" w:rsidRDefault="00541E34" w:rsidP="00A0367B">
            <w:pPr>
              <w:tabs>
                <w:tab w:val="center" w:pos="1620"/>
              </w:tabs>
              <w:rPr>
                <w:color w:val="auto"/>
                <w:vertAlign w:val="subscript"/>
              </w:rPr>
            </w:pPr>
            <w:r w:rsidRPr="000D2B40">
              <w:rPr>
                <w:color w:val="auto"/>
                <w:sz w:val="22"/>
                <w:szCs w:val="22"/>
              </w:rPr>
              <w:t>- Lưu: VT-LT</w:t>
            </w:r>
            <w:r w:rsidRPr="000D2B40">
              <w:rPr>
                <w:color w:val="auto"/>
                <w:lang w:val="vi-VN"/>
              </w:rPr>
              <w:t>.</w:t>
            </w:r>
          </w:p>
        </w:tc>
        <w:tc>
          <w:tcPr>
            <w:tcW w:w="4906" w:type="dxa"/>
          </w:tcPr>
          <w:p w:rsidR="00541E34" w:rsidRPr="000D2B40" w:rsidRDefault="00541E34" w:rsidP="00A0367B">
            <w:pPr>
              <w:tabs>
                <w:tab w:val="center" w:pos="6840"/>
              </w:tabs>
              <w:jc w:val="center"/>
              <w:rPr>
                <w:b/>
                <w:bCs/>
                <w:color w:val="auto"/>
                <w:szCs w:val="28"/>
              </w:rPr>
            </w:pPr>
            <w:r w:rsidRPr="000D2B40">
              <w:rPr>
                <w:b/>
                <w:bCs/>
                <w:color w:val="auto"/>
                <w:szCs w:val="28"/>
              </w:rPr>
              <w:t>TM. ỦY BAN NHÂN DÂN</w:t>
            </w:r>
          </w:p>
          <w:p w:rsidR="00541E34" w:rsidRPr="000D2B40" w:rsidRDefault="00541E34" w:rsidP="00A0367B">
            <w:pPr>
              <w:tabs>
                <w:tab w:val="center" w:pos="6840"/>
              </w:tabs>
              <w:jc w:val="center"/>
              <w:rPr>
                <w:b/>
                <w:bCs/>
                <w:color w:val="auto"/>
                <w:szCs w:val="28"/>
              </w:rPr>
            </w:pPr>
            <w:r w:rsidRPr="000D2B40">
              <w:rPr>
                <w:b/>
                <w:bCs/>
                <w:color w:val="auto"/>
                <w:szCs w:val="28"/>
              </w:rPr>
              <w:t>CHỦ TỊCH</w:t>
            </w:r>
          </w:p>
          <w:p w:rsidR="00541E34" w:rsidRPr="000D2B40" w:rsidRDefault="00541E34" w:rsidP="00A0367B">
            <w:pPr>
              <w:tabs>
                <w:tab w:val="center" w:pos="6840"/>
              </w:tabs>
              <w:jc w:val="center"/>
              <w:rPr>
                <w:b/>
                <w:bCs/>
                <w:color w:val="auto"/>
                <w:szCs w:val="28"/>
              </w:rPr>
            </w:pPr>
            <w:r w:rsidRPr="000D2B40">
              <w:rPr>
                <w:b/>
                <w:bCs/>
                <w:color w:val="auto"/>
                <w:szCs w:val="28"/>
              </w:rPr>
              <w:t>(Đã ký)</w:t>
            </w:r>
          </w:p>
          <w:p w:rsidR="00541E34" w:rsidRPr="000D2B40" w:rsidRDefault="00541E34" w:rsidP="00A0367B">
            <w:pPr>
              <w:tabs>
                <w:tab w:val="center" w:pos="6840"/>
              </w:tabs>
              <w:jc w:val="center"/>
              <w:rPr>
                <w:b/>
                <w:bCs/>
                <w:color w:val="auto"/>
                <w:szCs w:val="28"/>
              </w:rPr>
            </w:pPr>
          </w:p>
          <w:p w:rsidR="00541E34" w:rsidRPr="000D2B40" w:rsidRDefault="00541E34" w:rsidP="00A0367B">
            <w:pPr>
              <w:tabs>
                <w:tab w:val="center" w:pos="6840"/>
              </w:tabs>
              <w:jc w:val="center"/>
              <w:rPr>
                <w:b/>
                <w:color w:val="auto"/>
              </w:rPr>
            </w:pPr>
            <w:r w:rsidRPr="000D2B40">
              <w:rPr>
                <w:b/>
                <w:bCs/>
                <w:color w:val="auto"/>
                <w:szCs w:val="28"/>
              </w:rPr>
              <w:t>Nguyễn Ngọc Sâm</w:t>
            </w:r>
          </w:p>
        </w:tc>
      </w:tr>
    </w:tbl>
    <w:p w:rsidR="00541E34" w:rsidRDefault="00541E34" w:rsidP="00541E34">
      <w:r>
        <w:br w:type="page"/>
      </w:r>
    </w:p>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541E34"/>
    <w:rsid w:val="004A5DBD"/>
    <w:rsid w:val="00541E34"/>
    <w:rsid w:val="0086205A"/>
    <w:rsid w:val="00B80256"/>
    <w:rsid w:val="00E365DD"/>
    <w:rsid w:val="00E41AE8"/>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34"/>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10">
    <w:name w:val="Ghi chú cuối trang + 10"/>
    <w:aliases w:val="5 pt,In nghiêng,Giãn cách 0 pt,Ghi chú cuối trang + Corbel,7,Ghi chú cuối trang + 4,Ghi chú cuối trang (6) + 12 pt,Ghi chú cuối trang + 12 pt,In đậm,Ghi chú cuối trang + In nghiêng,Văn bản nội dung (2) + 11 pt,Giãn cách -1 pt,9"/>
    <w:basedOn w:val="DefaultParagraphFont"/>
    <w:rsid w:val="00541E34"/>
    <w:rPr>
      <w:rFonts w:eastAsia="Times New Roman" w:cs="Times New Roman"/>
      <w:color w:val="000000"/>
      <w:spacing w:val="0"/>
      <w:w w:val="100"/>
      <w:position w:val="0"/>
      <w:sz w:val="21"/>
      <w:szCs w:val="21"/>
      <w:shd w:val="clear" w:color="auto" w:fill="FFFFFF"/>
      <w:lang w:val="vi-VN" w:eastAsia="vi-VN" w:bidi="vi-VN"/>
    </w:rPr>
  </w:style>
  <w:style w:type="character" w:customStyle="1" w:styleId="Vnbnnidung5">
    <w:name w:val="Văn bản nội dung (5)_"/>
    <w:basedOn w:val="DefaultParagraphFont"/>
    <w:rsid w:val="00541E34"/>
    <w:rPr>
      <w:rFonts w:ascii="Times New Roman" w:eastAsia="Times New Roman" w:hAnsi="Times New Roman" w:cs="Times New Roman"/>
      <w:b w:val="0"/>
      <w:bCs w:val="0"/>
      <w:i w:val="0"/>
      <w:iCs w:val="0"/>
      <w:smallCaps w:val="0"/>
      <w:strike w:val="0"/>
      <w:sz w:val="28"/>
      <w:szCs w:val="28"/>
      <w:u w:val="none"/>
    </w:rPr>
  </w:style>
  <w:style w:type="character" w:customStyle="1" w:styleId="Vnbnnidung7">
    <w:name w:val="Văn bản nội dung (7)_"/>
    <w:basedOn w:val="DefaultParagraphFont"/>
    <w:link w:val="Vnbnnidung70"/>
    <w:rsid w:val="00541E34"/>
    <w:rPr>
      <w:rFonts w:eastAsia="Times New Roman" w:cs="Times New Roman"/>
      <w:b/>
      <w:bCs/>
      <w:szCs w:val="28"/>
      <w:shd w:val="clear" w:color="auto" w:fill="FFFFFF"/>
    </w:rPr>
  </w:style>
  <w:style w:type="character" w:customStyle="1" w:styleId="Tiu6">
    <w:name w:val="Tiêu đề #6_"/>
    <w:basedOn w:val="DefaultParagraphFont"/>
    <w:link w:val="Tiu60"/>
    <w:rsid w:val="00541E34"/>
    <w:rPr>
      <w:rFonts w:eastAsia="Times New Roman" w:cs="Times New Roman"/>
      <w:b/>
      <w:bCs/>
      <w:szCs w:val="28"/>
      <w:shd w:val="clear" w:color="auto" w:fill="FFFFFF"/>
    </w:rPr>
  </w:style>
  <w:style w:type="paragraph" w:customStyle="1" w:styleId="Vnbnnidung70">
    <w:name w:val="Văn bản nội dung (7)"/>
    <w:basedOn w:val="Normal"/>
    <w:link w:val="Vnbnnidung7"/>
    <w:rsid w:val="00541E34"/>
    <w:pPr>
      <w:widowControl w:val="0"/>
      <w:shd w:val="clear" w:color="auto" w:fill="FFFFFF"/>
      <w:spacing w:before="60" w:after="60" w:line="0" w:lineRule="atLeast"/>
      <w:jc w:val="both"/>
    </w:pPr>
    <w:rPr>
      <w:rFonts w:asciiTheme="minorHAnsi" w:hAnsiTheme="minorHAnsi"/>
      <w:b/>
      <w:bCs/>
      <w:color w:val="auto"/>
      <w:sz w:val="22"/>
      <w:szCs w:val="28"/>
    </w:rPr>
  </w:style>
  <w:style w:type="paragraph" w:customStyle="1" w:styleId="Tiu60">
    <w:name w:val="Tiêu đề #6"/>
    <w:basedOn w:val="Normal"/>
    <w:link w:val="Tiu6"/>
    <w:rsid w:val="00541E34"/>
    <w:pPr>
      <w:widowControl w:val="0"/>
      <w:shd w:val="clear" w:color="auto" w:fill="FFFFFF"/>
      <w:spacing w:before="120" w:after="120" w:line="0" w:lineRule="atLeast"/>
      <w:ind w:firstLine="800"/>
      <w:jc w:val="both"/>
      <w:outlineLvl w:val="5"/>
    </w:pPr>
    <w:rPr>
      <w:rFonts w:asciiTheme="minorHAnsi" w:hAnsiTheme="minorHAnsi"/>
      <w:b/>
      <w:bCs/>
      <w:color w:val="auto"/>
      <w:sz w:val="22"/>
      <w:szCs w:val="28"/>
    </w:rPr>
  </w:style>
  <w:style w:type="character" w:customStyle="1" w:styleId="Vnbnnidung3">
    <w:name w:val="Văn bản nội dung (3)_"/>
    <w:basedOn w:val="DefaultParagraphFont"/>
    <w:link w:val="Vnbnnidung30"/>
    <w:uiPriority w:val="99"/>
    <w:rsid w:val="00541E34"/>
    <w:rPr>
      <w:rFonts w:eastAsia="Times New Roman" w:cs="Times New Roman"/>
      <w:b/>
      <w:bCs/>
      <w:spacing w:val="10"/>
      <w:shd w:val="clear" w:color="auto" w:fill="FFFFFF"/>
    </w:rPr>
  </w:style>
  <w:style w:type="paragraph" w:customStyle="1" w:styleId="Vnbnnidung30">
    <w:name w:val="Văn bản nội dung (3)"/>
    <w:basedOn w:val="Normal"/>
    <w:link w:val="Vnbnnidung3"/>
    <w:uiPriority w:val="99"/>
    <w:rsid w:val="00541E34"/>
    <w:pPr>
      <w:widowControl w:val="0"/>
      <w:shd w:val="clear" w:color="auto" w:fill="FFFFFF"/>
      <w:spacing w:after="180" w:line="320" w:lineRule="exact"/>
      <w:jc w:val="center"/>
    </w:pPr>
    <w:rPr>
      <w:rFonts w:asciiTheme="minorHAnsi" w:hAnsiTheme="minorHAnsi"/>
      <w:b/>
      <w:bCs/>
      <w:color w:val="auto"/>
      <w:spacing w:val="10"/>
      <w:sz w:val="22"/>
      <w:szCs w:val="22"/>
    </w:rPr>
  </w:style>
  <w:style w:type="character" w:customStyle="1" w:styleId="Vnbnnidung3Gincch0pt">
    <w:name w:val="Văn bản nội dung (3) + Giãn cách 0 pt"/>
    <w:basedOn w:val="Vnbnnidung3"/>
    <w:rsid w:val="00541E34"/>
    <w:rPr>
      <w:rFonts w:ascii="Times New Roman" w:hAnsi="Times New Roman"/>
      <w:i w:val="0"/>
      <w:iCs w:val="0"/>
      <w:smallCaps w:val="0"/>
      <w:strike w:val="0"/>
      <w:color w:val="000000"/>
      <w:spacing w:val="0"/>
      <w:w w:val="100"/>
      <w:position w:val="0"/>
      <w:sz w:val="24"/>
      <w:szCs w:val="24"/>
      <w:u w:val="none"/>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2018-05-23T07:33:00Z</dcterms:created>
  <dcterms:modified xsi:type="dcterms:W3CDTF">2018-05-23T07:35:00Z</dcterms:modified>
</cp:coreProperties>
</file>