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52" w:type="dxa"/>
        <w:tblInd w:w="108" w:type="dxa"/>
        <w:tblLook w:val="0000"/>
      </w:tblPr>
      <w:tblGrid>
        <w:gridCol w:w="3361"/>
        <w:gridCol w:w="6391"/>
      </w:tblGrid>
      <w:tr w:rsidR="00217F0D" w:rsidRPr="000D2B40" w:rsidTr="00A0367B">
        <w:trPr>
          <w:trHeight w:val="723"/>
        </w:trPr>
        <w:tc>
          <w:tcPr>
            <w:tcW w:w="3361" w:type="dxa"/>
          </w:tcPr>
          <w:p w:rsidR="00217F0D" w:rsidRPr="000D2B40" w:rsidRDefault="00217F0D" w:rsidP="00A0367B">
            <w:pPr>
              <w:jc w:val="center"/>
              <w:rPr>
                <w:b/>
                <w:bCs/>
                <w:color w:val="auto"/>
                <w:sz w:val="26"/>
              </w:rPr>
            </w:pPr>
            <w:r w:rsidRPr="000D2B40">
              <w:rPr>
                <w:b/>
                <w:bCs/>
                <w:color w:val="auto"/>
                <w:sz w:val="26"/>
              </w:rPr>
              <w:t>HỘI ĐỒNG NHÂN DÂN</w:t>
            </w:r>
          </w:p>
          <w:p w:rsidR="00217F0D" w:rsidRPr="000D2B40" w:rsidRDefault="00217F0D" w:rsidP="00A0367B">
            <w:pPr>
              <w:jc w:val="center"/>
              <w:rPr>
                <w:b/>
                <w:bCs/>
                <w:color w:val="auto"/>
              </w:rPr>
            </w:pPr>
            <w:r w:rsidRPr="000D2B40">
              <w:rPr>
                <w:b/>
                <w:bCs/>
                <w:color w:val="auto"/>
                <w:sz w:val="26"/>
              </w:rPr>
              <w:t>HUYỆN SA THẦY</w:t>
            </w:r>
          </w:p>
          <w:p w:rsidR="00217F0D" w:rsidRPr="000D2B40" w:rsidRDefault="00217F0D" w:rsidP="00A0367B">
            <w:pPr>
              <w:spacing w:line="120" w:lineRule="auto"/>
              <w:jc w:val="center"/>
              <w:rPr>
                <w:b/>
                <w:bCs/>
                <w:color w:val="auto"/>
                <w:sz w:val="26"/>
              </w:rPr>
            </w:pPr>
            <w:r w:rsidRPr="00354FF8">
              <w:rPr>
                <w:b/>
                <w:bCs/>
                <w:noProof/>
                <w:color w:val="auto"/>
              </w:rPr>
              <w:pict>
                <v:line id="_x0000_s1027" style="position:absolute;left:0;text-align:left;z-index:251661312;visibility:visible" from="44.6pt,2.15pt" to="100.6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R5EEQIAACc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"/>
              </w:pict>
            </w:r>
            <w:r w:rsidRPr="000D2B40">
              <w:rPr>
                <w:b/>
                <w:bCs/>
                <w:color w:val="auto"/>
                <w:sz w:val="26"/>
              </w:rPr>
              <w:softHyphen/>
            </w:r>
            <w:r w:rsidRPr="000D2B40">
              <w:rPr>
                <w:b/>
                <w:bCs/>
                <w:color w:val="auto"/>
                <w:sz w:val="26"/>
              </w:rPr>
              <w:softHyphen/>
            </w:r>
            <w:r w:rsidRPr="000D2B40">
              <w:rPr>
                <w:b/>
                <w:bCs/>
                <w:color w:val="auto"/>
                <w:sz w:val="26"/>
              </w:rPr>
              <w:softHyphen/>
            </w:r>
          </w:p>
        </w:tc>
        <w:tc>
          <w:tcPr>
            <w:tcW w:w="6391" w:type="dxa"/>
          </w:tcPr>
          <w:p w:rsidR="00217F0D" w:rsidRPr="000D2B40" w:rsidRDefault="00217F0D" w:rsidP="00A0367B">
            <w:pPr>
              <w:jc w:val="center"/>
              <w:rPr>
                <w:b/>
                <w:bCs/>
                <w:color w:val="auto"/>
                <w:sz w:val="26"/>
              </w:rPr>
            </w:pPr>
            <w:r w:rsidRPr="000D2B40">
              <w:rPr>
                <w:b/>
                <w:bCs/>
                <w:color w:val="auto"/>
                <w:sz w:val="26"/>
              </w:rPr>
              <w:t>CỘNG HOÀ XÃ HỘI CHỦ NGHĨA VIỆT NAM</w:t>
            </w:r>
          </w:p>
          <w:p w:rsidR="00217F0D" w:rsidRPr="000D2B40" w:rsidRDefault="00217F0D" w:rsidP="00A0367B">
            <w:pPr>
              <w:pStyle w:val="Heading2"/>
              <w:rPr>
                <w:b/>
                <w:i w:val="0"/>
                <w:sz w:val="28"/>
                <w:szCs w:val="28"/>
              </w:rPr>
            </w:pPr>
            <w:r w:rsidRPr="000D2B40">
              <w:rPr>
                <w:b/>
                <w:i w:val="0"/>
                <w:sz w:val="28"/>
                <w:szCs w:val="28"/>
              </w:rPr>
              <w:t>Độc lập -  Tự do  -  Hạnh phúc</w:t>
            </w:r>
          </w:p>
          <w:p w:rsidR="00217F0D" w:rsidRPr="000D2B40" w:rsidRDefault="00217F0D" w:rsidP="00A0367B">
            <w:pPr>
              <w:spacing w:line="120" w:lineRule="auto"/>
              <w:jc w:val="center"/>
              <w:rPr>
                <w:color w:val="auto"/>
              </w:rPr>
            </w:pPr>
            <w:r>
              <w:rPr>
                <w:noProof/>
                <w:color w:val="auto"/>
              </w:rPr>
              <w:pict>
                <v:line id="_x0000_s1028" style="position:absolute;left:0;text-align:left;z-index:251662336;visibility:visible" from="63.85pt,1pt" to="238.8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LZEQ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"/>
              </w:pict>
            </w:r>
          </w:p>
        </w:tc>
      </w:tr>
      <w:tr w:rsidR="00217F0D" w:rsidRPr="000D2B40" w:rsidTr="00A0367B">
        <w:trPr>
          <w:trHeight w:val="429"/>
        </w:trPr>
        <w:tc>
          <w:tcPr>
            <w:tcW w:w="3361" w:type="dxa"/>
          </w:tcPr>
          <w:p w:rsidR="00217F0D" w:rsidRPr="000D2B40" w:rsidRDefault="00217F0D" w:rsidP="00A0367B">
            <w:pPr>
              <w:spacing w:before="240"/>
              <w:jc w:val="center"/>
              <w:rPr>
                <w:color w:val="auto"/>
                <w:sz w:val="26"/>
                <w:szCs w:val="26"/>
              </w:rPr>
            </w:pPr>
            <w:r w:rsidRPr="000D2B40">
              <w:rPr>
                <w:color w:val="auto"/>
                <w:sz w:val="26"/>
                <w:szCs w:val="26"/>
              </w:rPr>
              <w:t>Số:  26/BC-</w:t>
            </w:r>
            <w:r>
              <w:rPr>
                <w:color w:val="auto"/>
                <w:sz w:val="26"/>
                <w:szCs w:val="26"/>
              </w:rPr>
              <w:t>BPC</w:t>
            </w:r>
          </w:p>
        </w:tc>
        <w:tc>
          <w:tcPr>
            <w:tcW w:w="6391" w:type="dxa"/>
          </w:tcPr>
          <w:p w:rsidR="00217F0D" w:rsidRPr="000D2B40" w:rsidRDefault="00217F0D" w:rsidP="00A0367B">
            <w:pPr>
              <w:spacing w:before="240"/>
              <w:jc w:val="center"/>
              <w:rPr>
                <w:i/>
                <w:color w:val="auto"/>
              </w:rPr>
            </w:pPr>
            <w:r w:rsidRPr="000D2B40">
              <w:rPr>
                <w:i/>
                <w:color w:val="auto"/>
              </w:rPr>
              <w:t>Sa Thầy, ngày 04 tháng 7 năm 2017</w:t>
            </w:r>
          </w:p>
        </w:tc>
      </w:tr>
    </w:tbl>
    <w:p w:rsidR="00217F0D" w:rsidRPr="000D2B40" w:rsidRDefault="00217F0D" w:rsidP="00217F0D">
      <w:pPr>
        <w:rPr>
          <w:b/>
          <w:color w:val="auto"/>
          <w:szCs w:val="28"/>
        </w:rPr>
      </w:pPr>
      <w:r w:rsidRPr="000D2B40">
        <w:rPr>
          <w:i/>
          <w:color w:val="auto"/>
          <w:szCs w:val="28"/>
        </w:rPr>
        <w:tab/>
      </w:r>
      <w:r w:rsidRPr="000D2B40">
        <w:rPr>
          <w:i/>
          <w:color w:val="auto"/>
          <w:szCs w:val="28"/>
        </w:rPr>
        <w:tab/>
      </w:r>
      <w:r w:rsidRPr="000D2B40">
        <w:rPr>
          <w:color w:val="auto"/>
          <w:szCs w:val="28"/>
        </w:rPr>
        <w:tab/>
      </w:r>
      <w:r w:rsidRPr="000D2B40">
        <w:rPr>
          <w:i/>
          <w:color w:val="auto"/>
          <w:szCs w:val="28"/>
        </w:rPr>
        <w:tab/>
      </w:r>
    </w:p>
    <w:p w:rsidR="00217F0D" w:rsidRPr="000D2B40" w:rsidRDefault="00217F0D" w:rsidP="00217F0D">
      <w:pPr>
        <w:jc w:val="center"/>
        <w:rPr>
          <w:b/>
          <w:color w:val="auto"/>
          <w:szCs w:val="28"/>
        </w:rPr>
      </w:pPr>
      <w:r w:rsidRPr="000D2B40">
        <w:rPr>
          <w:b/>
          <w:color w:val="auto"/>
          <w:szCs w:val="28"/>
        </w:rPr>
        <w:t>BÁO CÁO</w:t>
      </w:r>
    </w:p>
    <w:p w:rsidR="00217F0D" w:rsidRPr="000D2B40" w:rsidRDefault="00217F0D" w:rsidP="00217F0D">
      <w:pPr>
        <w:jc w:val="center"/>
        <w:rPr>
          <w:b/>
          <w:color w:val="auto"/>
          <w:szCs w:val="28"/>
        </w:rPr>
      </w:pPr>
      <w:r w:rsidRPr="000D2B40">
        <w:rPr>
          <w:b/>
          <w:color w:val="auto"/>
          <w:szCs w:val="28"/>
        </w:rPr>
        <w:t xml:space="preserve">Kết quả giám sát công tác tổ chức hoạt động của các trung tâm </w:t>
      </w:r>
    </w:p>
    <w:p w:rsidR="00217F0D" w:rsidRPr="000D2B40" w:rsidRDefault="00217F0D" w:rsidP="00217F0D">
      <w:pPr>
        <w:jc w:val="center"/>
        <w:rPr>
          <w:i/>
          <w:color w:val="auto"/>
          <w:szCs w:val="28"/>
        </w:rPr>
      </w:pPr>
      <w:r w:rsidRPr="000D2B40">
        <w:rPr>
          <w:b/>
          <w:color w:val="auto"/>
          <w:szCs w:val="28"/>
        </w:rPr>
        <w:t xml:space="preserve">Học tập cộng đồng tại các xã trên địa bàn huyện </w:t>
      </w:r>
    </w:p>
    <w:p w:rsidR="00217F0D" w:rsidRPr="000D2B40" w:rsidRDefault="00217F0D" w:rsidP="00217F0D">
      <w:pPr>
        <w:jc w:val="center"/>
        <w:rPr>
          <w:b/>
          <w:color w:val="auto"/>
          <w:szCs w:val="28"/>
        </w:rPr>
      </w:pPr>
      <w:r w:rsidRPr="00354FF8">
        <w:rPr>
          <w:color w:val="auto"/>
        </w:rPr>
        <w:pict>
          <v:line id="_x0000_s1026" style="position:absolute;left:0;text-align:left;z-index:251660288" from="198pt,1.6pt" to="274.3pt,1.6pt"/>
        </w:pict>
      </w:r>
    </w:p>
    <w:p w:rsidR="00217F0D" w:rsidRPr="000D2B40" w:rsidRDefault="00217F0D" w:rsidP="00217F0D">
      <w:pPr>
        <w:spacing w:before="120" w:after="120"/>
        <w:ind w:firstLine="720"/>
        <w:jc w:val="both"/>
        <w:rPr>
          <w:color w:val="auto"/>
          <w:szCs w:val="28"/>
        </w:rPr>
      </w:pPr>
      <w:r w:rsidRPr="000D2B40">
        <w:rPr>
          <w:color w:val="auto"/>
          <w:szCs w:val="28"/>
        </w:rPr>
        <w:t>Thực hiện Kế hoạch số 14/KH-BPC, ngày 01 tháng</w:t>
      </w:r>
      <w:r>
        <w:rPr>
          <w:color w:val="auto"/>
          <w:szCs w:val="28"/>
        </w:rPr>
        <w:t xml:space="preserve"> </w:t>
      </w:r>
      <w:r w:rsidRPr="000D2B40">
        <w:rPr>
          <w:color w:val="auto"/>
          <w:szCs w:val="28"/>
        </w:rPr>
        <w:t>3 năm 2017 của Ban</w:t>
      </w:r>
      <w:r>
        <w:rPr>
          <w:color w:val="auto"/>
          <w:szCs w:val="28"/>
        </w:rPr>
        <w:t xml:space="preserve"> Pháp</w:t>
      </w:r>
      <w:r w:rsidRPr="000D2B40">
        <w:rPr>
          <w:color w:val="auto"/>
          <w:szCs w:val="28"/>
        </w:rPr>
        <w:t xml:space="preserve"> chế HĐND huyện về giám sát công tác tổ chức hoạt động của các Trung tâm học tập cộng đồng đối với một số xã trên địa bàn huyện từ năm 2014 đến 2016. Ban </w:t>
      </w:r>
      <w:r>
        <w:rPr>
          <w:color w:val="auto"/>
          <w:szCs w:val="28"/>
        </w:rPr>
        <w:t>P</w:t>
      </w:r>
      <w:r w:rsidRPr="000D2B40">
        <w:rPr>
          <w:color w:val="auto"/>
          <w:szCs w:val="28"/>
        </w:rPr>
        <w:t>háp chế HĐND huyện báo cáo kết quả giám sát như sau:</w:t>
      </w:r>
    </w:p>
    <w:p w:rsidR="00217F0D" w:rsidRPr="000D2B40" w:rsidRDefault="00217F0D" w:rsidP="00217F0D">
      <w:pPr>
        <w:spacing w:before="120" w:after="120"/>
        <w:ind w:firstLine="720"/>
        <w:jc w:val="both"/>
        <w:rPr>
          <w:b/>
          <w:color w:val="auto"/>
          <w:szCs w:val="28"/>
        </w:rPr>
      </w:pPr>
      <w:r w:rsidRPr="000D2B40">
        <w:rPr>
          <w:b/>
          <w:color w:val="auto"/>
          <w:szCs w:val="28"/>
        </w:rPr>
        <w:t xml:space="preserve">I. KẾT QUẢ ĐẠT ĐƯỢC </w:t>
      </w:r>
    </w:p>
    <w:p w:rsidR="00217F0D" w:rsidRPr="000D2B40" w:rsidRDefault="00217F0D" w:rsidP="00217F0D">
      <w:pPr>
        <w:spacing w:before="120" w:after="120"/>
        <w:ind w:firstLine="720"/>
        <w:jc w:val="both"/>
        <w:rPr>
          <w:b/>
          <w:color w:val="auto"/>
          <w:szCs w:val="28"/>
        </w:rPr>
      </w:pPr>
      <w:r w:rsidRPr="000D2B40">
        <w:rPr>
          <w:b/>
          <w:color w:val="auto"/>
          <w:szCs w:val="28"/>
        </w:rPr>
        <w:t xml:space="preserve"> 1. Công tác chỉ đạo điều hành thực hiện</w:t>
      </w:r>
    </w:p>
    <w:p w:rsidR="00217F0D" w:rsidRPr="000D2B40" w:rsidRDefault="00217F0D" w:rsidP="00217F0D">
      <w:pPr>
        <w:spacing w:before="120" w:after="120"/>
        <w:ind w:firstLine="720"/>
        <w:jc w:val="both"/>
        <w:rPr>
          <w:color w:val="auto"/>
          <w:szCs w:val="28"/>
          <w:shd w:val="clear" w:color="auto" w:fill="FFFFFF"/>
        </w:rPr>
      </w:pPr>
      <w:r w:rsidRPr="000D2B40">
        <w:rPr>
          <w:color w:val="auto"/>
          <w:szCs w:val="28"/>
          <w:shd w:val="clear" w:color="auto" w:fill="FFFFFF"/>
        </w:rPr>
        <w:t xml:space="preserve">Sau khi có quyết định thành lập Ban Giám đốc và được cấp kinh phí hoạt động thường xuyên theo </w:t>
      </w:r>
      <w:r>
        <w:rPr>
          <w:color w:val="auto"/>
          <w:szCs w:val="28"/>
          <w:shd w:val="clear" w:color="auto" w:fill="FFFFFF"/>
        </w:rPr>
        <w:t>quy</w:t>
      </w:r>
      <w:r w:rsidRPr="000D2B40">
        <w:rPr>
          <w:color w:val="auto"/>
          <w:szCs w:val="28"/>
          <w:shd w:val="clear" w:color="auto" w:fill="FFFFFF"/>
        </w:rPr>
        <w:t xml:space="preserve"> định tại Thông tư số 96/2008/TT-BTC ngày 27/10/2008 của Bộ Tài chính (phần lớn các Trung tâm được cấp kinh phí từ năm 2013), đồng thời một số xã đã được xây dựng nhà văn hóa và UBND xã cũng đã quan tâm tạo điều kiện để các TTHTCÐ sử dụng nhà văn hóa xã, Trường học để tổ chức mở lớp học, hoạt động của các TTHTCÐ trên địa bàn các xã cũng đã có một số chuyển biến. Hàng năm Trung tâm học tập cộng đồng các xã đẫ chủ động tham mưu đề xuất củng cố, kiện toàn Ban giám đốc, đồng thời triển khai kế hoạch hoạt động của Trung tâm học tập cộng đồng theo đúng quy chế hoạt động của Bộ giáo dục và đào tạo.</w:t>
      </w:r>
    </w:p>
    <w:p w:rsidR="00217F0D" w:rsidRPr="000D2B40" w:rsidRDefault="00217F0D" w:rsidP="00217F0D">
      <w:pPr>
        <w:spacing w:before="120" w:after="120"/>
        <w:ind w:firstLine="720"/>
        <w:jc w:val="both"/>
        <w:rPr>
          <w:b/>
          <w:color w:val="auto"/>
          <w:szCs w:val="28"/>
        </w:rPr>
      </w:pPr>
      <w:r w:rsidRPr="000D2B40">
        <w:rPr>
          <w:b/>
          <w:color w:val="auto"/>
          <w:szCs w:val="28"/>
        </w:rPr>
        <w:t>2. Kết quả hoạt động của Trung tâm</w:t>
      </w:r>
    </w:p>
    <w:p w:rsidR="00217F0D" w:rsidRPr="000D2B40" w:rsidRDefault="00217F0D" w:rsidP="00217F0D">
      <w:pPr>
        <w:spacing w:before="120" w:after="120"/>
        <w:ind w:firstLine="720"/>
        <w:jc w:val="both"/>
        <w:rPr>
          <w:rStyle w:val="Emphasis"/>
          <w:b/>
          <w:bCs/>
          <w:i w:val="0"/>
          <w:color w:val="auto"/>
          <w:shd w:val="clear" w:color="auto" w:fill="FFFFFF"/>
        </w:rPr>
      </w:pPr>
      <w:r w:rsidRPr="000D2B40">
        <w:rPr>
          <w:rStyle w:val="Emphasis"/>
          <w:b/>
          <w:bCs/>
          <w:color w:val="auto"/>
          <w:szCs w:val="28"/>
          <w:shd w:val="clear" w:color="auto" w:fill="FFFFFF"/>
        </w:rPr>
        <w:t>2.1. Công tác tổ chức hoạt động</w:t>
      </w:r>
    </w:p>
    <w:p w:rsidR="00217F0D" w:rsidRPr="000D2B40" w:rsidRDefault="00217F0D" w:rsidP="00217F0D">
      <w:pPr>
        <w:spacing w:before="120" w:after="120"/>
        <w:ind w:firstLine="720"/>
        <w:jc w:val="both"/>
        <w:rPr>
          <w:color w:val="auto"/>
        </w:rPr>
      </w:pPr>
      <w:r w:rsidRPr="000D2B40">
        <w:rPr>
          <w:rStyle w:val="Emphasis"/>
          <w:bCs/>
          <w:color w:val="auto"/>
          <w:szCs w:val="28"/>
          <w:shd w:val="clear" w:color="auto" w:fill="FFFFFF"/>
        </w:rPr>
        <w:t>Về hoạt động của các TTHTCĐ tại thời điểm giám sát có 4/4</w:t>
      </w:r>
      <w:r w:rsidRPr="000D2B40">
        <w:rPr>
          <w:color w:val="auto"/>
          <w:szCs w:val="28"/>
          <w:shd w:val="clear" w:color="auto" w:fill="FFFFFF"/>
        </w:rPr>
        <w:t xml:space="preserve"> Trung tâm học tập cộng đồng đều có Ban Giám đốc với ba thành viên theo quy định tại Quyết định số 09/2008/QĐ-BGDĐT ngày 24/3/2008 của Bộ GD và ĐT về việc ban hành Quy chế tổ chức và hoạt động của Trung tâm học tập cộng đồng tại các xã, phường, thị trấn. Các thành viên của Ban Giám đốc có trình độ chuyên môn nghiệp vụ đảm bảo đáp ứng cho công việc thực hiện các nhiệm vụ của TTHTCĐ.</w:t>
      </w:r>
    </w:p>
    <w:p w:rsidR="00217F0D" w:rsidRPr="000D2B40" w:rsidRDefault="00217F0D" w:rsidP="00217F0D">
      <w:pPr>
        <w:pStyle w:val="NormalWeb"/>
        <w:tabs>
          <w:tab w:val="left" w:pos="5283"/>
        </w:tabs>
        <w:spacing w:before="120" w:after="120"/>
        <w:ind w:firstLine="720"/>
        <w:jc w:val="both"/>
        <w:rPr>
          <w:rStyle w:val="Emphasis"/>
          <w:rFonts w:ascii="Times New Roman" w:hAnsi="Times New Roman"/>
          <w:i w:val="0"/>
          <w:color w:val="auto"/>
          <w:lang w:val="vi-VN"/>
        </w:rPr>
      </w:pPr>
      <w:r w:rsidRPr="000D2B40">
        <w:rPr>
          <w:rFonts w:ascii="Times New Roman" w:hAnsi="Times New Roman"/>
          <w:color w:val="auto"/>
          <w:sz w:val="28"/>
          <w:szCs w:val="28"/>
          <w:shd w:val="clear" w:color="auto" w:fill="FFFFFF"/>
        </w:rPr>
        <w:t>Sau khi có quyết định thành lập của UBND huyện, được củng cố, kiện toàn thường xuyên, các Ban Giám đốc của TTHTCĐ các xã, thị trấn đã có nhiều cố gắng trong việc xây dựng kế hoạch hoạt động; phối hợp với các đoàn thể để xây dựng kế hoạch. Thường xuyên khai thác, cung cấp tài liệu học tập cho các cơ sở giáo dục, các ban, ngành đoàn thể, người dân trên địa bàn về công tác xã hội hóa học tập.</w:t>
      </w:r>
      <w:r w:rsidRPr="000D2B40">
        <w:rPr>
          <w:rStyle w:val="Emphasis"/>
          <w:rFonts w:ascii="Times New Roman" w:hAnsi="Times New Roman"/>
          <w:color w:val="auto"/>
          <w:sz w:val="28"/>
          <w:szCs w:val="28"/>
        </w:rPr>
        <w:t xml:space="preserve"> Có sự phối hợp chặt chẽ các ban ngành đoàn thể, các tổ chức chính trị, xã hội địa phương như sự chỉ đạo của Đảng ủy, UBND, Phòng GD&amp;ĐT huyện về công tác tuyên truyền nâng cao nhận thức của người dân về mục đích, ý nghĩa và lợi ích của việc xây dựng xã hội học tập.</w:t>
      </w:r>
      <w:r w:rsidRPr="000D2B40">
        <w:rPr>
          <w:rFonts w:ascii="Times New Roman" w:hAnsi="Times New Roman"/>
          <w:color w:val="auto"/>
          <w:sz w:val="28"/>
          <w:szCs w:val="28"/>
          <w:lang w:val="vi-VN"/>
        </w:rPr>
        <w:t xml:space="preserve"> Trong những năm qua hoạt động của các </w:t>
      </w:r>
      <w:r w:rsidRPr="000D2B40">
        <w:rPr>
          <w:rFonts w:ascii="Times New Roman" w:hAnsi="Times New Roman"/>
          <w:color w:val="auto"/>
          <w:sz w:val="28"/>
          <w:szCs w:val="28"/>
          <w:lang w:val="vi-VN"/>
        </w:rPr>
        <w:lastRenderedPageBreak/>
        <w:t>Trung tâm học tập cộng đồng trên địa bàn huyện đã dần đi vào nề nếp. Các trung tâm có sự phối hợp tốt với các ban ngành, đoàn thể trong việc mở lớp bồi dưỡng cho nhân dân.Đây là nơi tạo điều kiện để người dân được tham gia học tập, nâng cao dân trí, hiểu biết pháp luật, góp phần ổn định chính trị, trật tự an toàn xã hội tại địa phương.</w:t>
      </w:r>
    </w:p>
    <w:p w:rsidR="00217F0D" w:rsidRPr="000D2B40" w:rsidRDefault="00217F0D" w:rsidP="00217F0D">
      <w:pPr>
        <w:spacing w:before="120" w:after="120"/>
        <w:ind w:firstLine="720"/>
        <w:jc w:val="both"/>
        <w:rPr>
          <w:color w:val="auto"/>
        </w:rPr>
      </w:pPr>
      <w:r w:rsidRPr="000D2B40">
        <w:rPr>
          <w:color w:val="auto"/>
          <w:szCs w:val="28"/>
          <w:lang w:val="vi-VN"/>
        </w:rPr>
        <w:t>Từ hoạt động của trung tâm học tập cộng đồng đã tạo điều kiện thuận lợi cho mọi người ở mọi lứa tuổi được học tập thường xuyên, học tập suốt đời; được phổ biến kiến thức và sáng kiến kinh nghiệm trong sản xuất và cuộc sống góp phần xoá đói giảm nghèo, tăng năng suất lao động, giải quyết việc làm; nâng cao chất lượng cuộc sống của từng người dân và cả cộng đồng; là nơi thực hiện việc phổ biến chủ trương, chính sách, pháp luật đến với mọi người dân.</w:t>
      </w:r>
    </w:p>
    <w:p w:rsidR="00217F0D" w:rsidRPr="000D2B40" w:rsidRDefault="00217F0D" w:rsidP="00217F0D">
      <w:pPr>
        <w:spacing w:before="120" w:after="120"/>
        <w:ind w:firstLine="720"/>
        <w:jc w:val="both"/>
        <w:rPr>
          <w:b/>
          <w:i/>
          <w:color w:val="auto"/>
          <w:shd w:val="clear" w:color="auto" w:fill="FFFFFF"/>
        </w:rPr>
      </w:pPr>
      <w:r w:rsidRPr="000D2B40">
        <w:rPr>
          <w:b/>
          <w:color w:val="auto"/>
          <w:szCs w:val="28"/>
          <w:lang w:val="vi-VN"/>
        </w:rPr>
        <w:t>2.2.</w:t>
      </w:r>
      <w:r w:rsidRPr="000D2B40">
        <w:rPr>
          <w:b/>
          <w:i/>
          <w:color w:val="auto"/>
          <w:lang w:val="vi-VN"/>
        </w:rPr>
        <w:t xml:space="preserve"> </w:t>
      </w:r>
      <w:r w:rsidRPr="000D2B40">
        <w:rPr>
          <w:rStyle w:val="Emphasis"/>
          <w:b/>
          <w:bCs/>
          <w:color w:val="auto"/>
          <w:szCs w:val="28"/>
          <w:shd w:val="clear" w:color="auto" w:fill="FFFFFF"/>
          <w:lang w:val="vi-VN"/>
        </w:rPr>
        <w:t>Về công tác quản lý và sử dụng nguồn kinh phí</w:t>
      </w:r>
    </w:p>
    <w:p w:rsidR="00217F0D" w:rsidRPr="000D2B40" w:rsidRDefault="00217F0D" w:rsidP="00217F0D">
      <w:pPr>
        <w:spacing w:before="120" w:after="120"/>
        <w:ind w:firstLine="720"/>
        <w:jc w:val="both"/>
        <w:rPr>
          <w:color w:val="auto"/>
          <w:szCs w:val="28"/>
          <w:lang w:val="vi-VN"/>
        </w:rPr>
      </w:pPr>
      <w:r w:rsidRPr="000D2B40">
        <w:rPr>
          <w:color w:val="auto"/>
          <w:szCs w:val="28"/>
          <w:shd w:val="clear" w:color="auto" w:fill="FFFFFF"/>
          <w:lang w:val="vi-VN"/>
        </w:rPr>
        <w:t>Hàng năm c</w:t>
      </w:r>
      <w:r w:rsidRPr="000D2B40">
        <w:rPr>
          <w:color w:val="auto"/>
          <w:szCs w:val="28"/>
          <w:shd w:val="clear" w:color="auto" w:fill="FFFFFF"/>
        </w:rPr>
        <w:t>á</w:t>
      </w:r>
      <w:r w:rsidRPr="000D2B40">
        <w:rPr>
          <w:color w:val="auto"/>
          <w:szCs w:val="28"/>
          <w:shd w:val="clear" w:color="auto" w:fill="FFFFFF"/>
          <w:lang w:val="vi-VN"/>
        </w:rPr>
        <w:t>c Trung tâm học tập cộng đồng được nhà nước hỗ trợ kinh phí hoạt động thường xuyên từ 20 - 25 triệu đồng/năm.</w:t>
      </w:r>
    </w:p>
    <w:p w:rsidR="00217F0D" w:rsidRPr="000D2B40" w:rsidRDefault="00217F0D" w:rsidP="00217F0D">
      <w:pPr>
        <w:pStyle w:val="NormalWeb"/>
        <w:spacing w:before="120" w:after="120"/>
        <w:ind w:firstLine="720"/>
        <w:jc w:val="both"/>
        <w:rPr>
          <w:rFonts w:ascii="Times New Roman" w:hAnsi="Times New Roman"/>
          <w:color w:val="auto"/>
          <w:sz w:val="28"/>
          <w:szCs w:val="28"/>
          <w:shd w:val="clear" w:color="auto" w:fill="FFFFFF"/>
          <w:lang w:val="vi-VN"/>
        </w:rPr>
      </w:pPr>
      <w:r w:rsidRPr="000D2B40">
        <w:rPr>
          <w:rFonts w:ascii="Times New Roman" w:hAnsi="Times New Roman"/>
          <w:color w:val="auto"/>
          <w:sz w:val="28"/>
          <w:szCs w:val="28"/>
          <w:shd w:val="clear" w:color="auto" w:fill="FFFFFF"/>
          <w:lang w:val="vi-VN"/>
        </w:rPr>
        <w:t xml:space="preserve"> Qua giám sát, Ban pháp chế nhận thấy, phần lớn các TTHTCĐ sử dụng nguồn kinh phí này để mua sắm trang thiết bị, chi trả phụ cấp kiêm nhiệm cho Ban giám đốc, kế toán, thủ quỹ và các khoản phụ cấp khác không đúng quy định, chưa bố trí kinh phí cho tổ chức mở các lớp tại Trung tâm (chỉ có TTHTCĐ xã Ya Ly, Sa Sơn có hỗ trợ tổ chức 04 lớp từ nguồn kinh phí của Trung tâm). </w:t>
      </w:r>
    </w:p>
    <w:p w:rsidR="00217F0D" w:rsidRPr="000D2B40" w:rsidRDefault="00217F0D" w:rsidP="00217F0D">
      <w:pPr>
        <w:pStyle w:val="NormalWeb"/>
        <w:spacing w:before="120" w:after="120"/>
        <w:ind w:firstLine="720"/>
        <w:jc w:val="both"/>
        <w:rPr>
          <w:rFonts w:ascii="Times New Roman" w:hAnsi="Times New Roman"/>
          <w:color w:val="auto"/>
          <w:sz w:val="28"/>
          <w:szCs w:val="28"/>
          <w:shd w:val="clear" w:color="auto" w:fill="FFFFFF"/>
        </w:rPr>
      </w:pPr>
      <w:r w:rsidRPr="000D2B40">
        <w:rPr>
          <w:rFonts w:ascii="Times New Roman" w:hAnsi="Times New Roman"/>
          <w:color w:val="auto"/>
          <w:sz w:val="28"/>
          <w:szCs w:val="28"/>
          <w:shd w:val="clear" w:color="auto" w:fill="FFFFFF"/>
          <w:lang w:val="vi-VN"/>
        </w:rPr>
        <w:t xml:space="preserve">Công tác huy động, tranh thủ các nguồn kinh phí để chủ động tổ chức các hoạt động tại Trung tâm vẫn chưa được quan tâm. Việc dùng kinh phí hoạt động thường xuyên của Trung tâm để chi trả phụ cấp kiêm nhiệm cho thủ quỹ và kế toán là chưa đúng theo quy định tại Điều 14, </w:t>
      </w:r>
      <w:r>
        <w:rPr>
          <w:rFonts w:ascii="Times New Roman" w:hAnsi="Times New Roman"/>
          <w:color w:val="auto"/>
          <w:sz w:val="28"/>
          <w:szCs w:val="28"/>
          <w:shd w:val="clear" w:color="auto" w:fill="FFFFFF"/>
          <w:lang w:val="vi-VN"/>
        </w:rPr>
        <w:t>Quy</w:t>
      </w:r>
      <w:r w:rsidRPr="000D2B40">
        <w:rPr>
          <w:rFonts w:ascii="Times New Roman" w:hAnsi="Times New Roman"/>
          <w:color w:val="auto"/>
          <w:sz w:val="28"/>
          <w:szCs w:val="28"/>
          <w:shd w:val="clear" w:color="auto" w:fill="FFFFFF"/>
          <w:lang w:val="vi-VN"/>
        </w:rPr>
        <w:t xml:space="preserve"> chế Tổ chức và hoạt động của trung tâm học tập cộng đồng tại xã, phường, thị trấn ban hành kèm theo Quyết định số 09/2008/QĐ -BGDĐT ngày 24/3/2008 của Bộ trưởng Bộ Giáo dục và Đào tạo “Kế toán, thủ quỹ của trung tâm học tập cộng đồng do kế toán, thủ quỹ của Ủy ban nhân dân cấp xã kiêm nhiệm, được hưởng chế độ, phụ cấp do Hội đồng nhân dân xã </w:t>
      </w:r>
      <w:r>
        <w:rPr>
          <w:rFonts w:ascii="Times New Roman" w:hAnsi="Times New Roman"/>
          <w:color w:val="auto"/>
          <w:sz w:val="28"/>
          <w:szCs w:val="28"/>
          <w:shd w:val="clear" w:color="auto" w:fill="FFFFFF"/>
          <w:lang w:val="vi-VN"/>
        </w:rPr>
        <w:t>quy</w:t>
      </w:r>
      <w:r w:rsidRPr="000D2B40">
        <w:rPr>
          <w:rFonts w:ascii="Times New Roman" w:hAnsi="Times New Roman"/>
          <w:color w:val="auto"/>
          <w:sz w:val="28"/>
          <w:szCs w:val="28"/>
          <w:shd w:val="clear" w:color="auto" w:fill="FFFFFF"/>
          <w:lang w:val="vi-VN"/>
        </w:rPr>
        <w:t xml:space="preserve"> định trên cơ sở tự cân đối ngân sách địa phương”. </w:t>
      </w:r>
    </w:p>
    <w:p w:rsidR="00217F0D" w:rsidRPr="000D2B40" w:rsidRDefault="00217F0D" w:rsidP="00217F0D">
      <w:pPr>
        <w:shd w:val="clear" w:color="auto" w:fill="FFFFFF"/>
        <w:spacing w:before="120" w:after="120"/>
        <w:ind w:left="40" w:firstLine="720"/>
        <w:jc w:val="both"/>
        <w:rPr>
          <w:color w:val="auto"/>
          <w:szCs w:val="28"/>
        </w:rPr>
      </w:pPr>
      <w:r w:rsidRPr="000D2B40">
        <w:rPr>
          <w:color w:val="auto"/>
          <w:szCs w:val="28"/>
          <w:lang w:val="vi-VN"/>
        </w:rPr>
        <w:t xml:space="preserve">Nhìn </w:t>
      </w:r>
      <w:r w:rsidRPr="000D2B40">
        <w:rPr>
          <w:color w:val="auto"/>
          <w:szCs w:val="28"/>
        </w:rPr>
        <w:t>chung</w:t>
      </w:r>
      <w:r w:rsidRPr="000D2B40">
        <w:rPr>
          <w:color w:val="auto"/>
          <w:szCs w:val="28"/>
          <w:lang w:val="vi-VN"/>
        </w:rPr>
        <w:t xml:space="preserve"> tương đối hiệu quả. </w:t>
      </w:r>
      <w:r w:rsidRPr="000D2B40">
        <w:rPr>
          <w:color w:val="auto"/>
          <w:szCs w:val="28"/>
        </w:rPr>
        <w:t>Đã xây dựng được quy chế hoạt động, phân công nhiệm vụ cụ thể cho từng thành viên của trung tâm. Hàng năm có xây dựng kế hoạch hoạt động và triển khai thực hiện tương đối tốt. Đồng thời đều có báo cáo kết quả hoạt động trong năm và phương hướng trong năm đến. Tổ chức duy trì và nâng cao chất lượng phổ cập mầm non, phổ cập tiểu học đúng độ tuổi và phổ cập THCS. Nâng cao chất lượng xóa mù chữ trong nhân dân.</w:t>
      </w:r>
    </w:p>
    <w:p w:rsidR="00217F0D" w:rsidRPr="000D2B40" w:rsidRDefault="00217F0D" w:rsidP="00217F0D">
      <w:pPr>
        <w:spacing w:before="120" w:after="120"/>
        <w:ind w:firstLine="720"/>
        <w:jc w:val="both"/>
        <w:rPr>
          <w:b/>
          <w:color w:val="auto"/>
          <w:szCs w:val="28"/>
          <w:shd w:val="clear" w:color="auto" w:fill="FFFFFF"/>
        </w:rPr>
      </w:pPr>
      <w:r w:rsidRPr="000D2B40">
        <w:rPr>
          <w:b/>
          <w:color w:val="auto"/>
          <w:szCs w:val="28"/>
          <w:shd w:val="clear" w:color="auto" w:fill="FFFFFF"/>
        </w:rPr>
        <w:t>3. Hạn chế, tồn tại</w:t>
      </w:r>
    </w:p>
    <w:p w:rsidR="00217F0D" w:rsidRPr="000D2B40" w:rsidRDefault="00217F0D" w:rsidP="00217F0D">
      <w:pPr>
        <w:pStyle w:val="NormalWeb"/>
        <w:spacing w:before="120" w:after="120"/>
        <w:ind w:firstLine="720"/>
        <w:jc w:val="both"/>
        <w:rPr>
          <w:rFonts w:ascii="Times New Roman" w:hAnsi="Times New Roman"/>
          <w:color w:val="auto"/>
          <w:sz w:val="28"/>
          <w:szCs w:val="28"/>
          <w:shd w:val="clear" w:color="auto" w:fill="FFFFFF"/>
        </w:rPr>
      </w:pPr>
      <w:r w:rsidRPr="000D2B40">
        <w:rPr>
          <w:rFonts w:ascii="Times New Roman" w:hAnsi="Times New Roman"/>
          <w:color w:val="auto"/>
          <w:sz w:val="28"/>
          <w:szCs w:val="28"/>
          <w:shd w:val="clear" w:color="auto" w:fill="FFFFFF"/>
        </w:rPr>
        <w:t>Qua nắm bắt, đánh giá tình hình, Ban pháp chế nhận thấy: các TTHTCĐ cộng đồng trên địa bàn huyện chưa thật sự đi vào hoạt động hoặc hoạt động chưa có hiệu quả, cụ thể:</w:t>
      </w:r>
    </w:p>
    <w:p w:rsidR="00217F0D" w:rsidRPr="000D2B40" w:rsidRDefault="00217F0D" w:rsidP="00217F0D">
      <w:pPr>
        <w:spacing w:before="120" w:after="120"/>
        <w:ind w:firstLine="720"/>
        <w:jc w:val="both"/>
        <w:rPr>
          <w:color w:val="auto"/>
          <w:szCs w:val="28"/>
          <w:shd w:val="clear" w:color="auto" w:fill="FFFFFF"/>
        </w:rPr>
      </w:pPr>
      <w:r w:rsidRPr="000D2B40">
        <w:rPr>
          <w:color w:val="auto"/>
          <w:szCs w:val="28"/>
          <w:shd w:val="clear" w:color="auto" w:fill="FFFFFF"/>
        </w:rPr>
        <w:t>- Các hoạt động của TTHTCĐ cũng chỉ mới dừng lại ở việc xây dựng kế hoạch hoạt động, phối hợp với các đoàn thể với cương vị là đơn vị tạo địa điểm để tổ chức các lớp học, lớp tập huấn.</w:t>
      </w:r>
    </w:p>
    <w:p w:rsidR="00217F0D" w:rsidRPr="000D2B40" w:rsidRDefault="00217F0D" w:rsidP="00217F0D">
      <w:pPr>
        <w:spacing w:before="120" w:after="120"/>
        <w:ind w:firstLine="720"/>
        <w:jc w:val="both"/>
        <w:rPr>
          <w:color w:val="auto"/>
          <w:szCs w:val="28"/>
          <w:shd w:val="clear" w:color="auto" w:fill="FFFFFF"/>
        </w:rPr>
      </w:pPr>
      <w:r w:rsidRPr="000D2B40">
        <w:rPr>
          <w:color w:val="auto"/>
          <w:szCs w:val="28"/>
          <w:shd w:val="clear" w:color="auto" w:fill="FFFFFF"/>
        </w:rPr>
        <w:lastRenderedPageBreak/>
        <w:t>- Việc điều tra, nắm bắt nhu cầu người học chưa được quan tâm; chưa có sự phối hợp đồng bộ, nhịp nhàng với các đoàn thể ngay từ khâu khảo sát, lập kế hoạch hoạt động, do vậy một số lớp học, lớp tập huấn có nội dung chưa thật sự đáp ứng nhu cầu của người dân, đem lại hiệu quả không cao.</w:t>
      </w:r>
    </w:p>
    <w:p w:rsidR="00217F0D" w:rsidRPr="000D2B40" w:rsidRDefault="00217F0D" w:rsidP="00217F0D">
      <w:pPr>
        <w:pStyle w:val="NormalWeb"/>
        <w:spacing w:before="120" w:after="120"/>
        <w:ind w:firstLine="720"/>
        <w:jc w:val="both"/>
        <w:rPr>
          <w:rFonts w:ascii="Times New Roman" w:hAnsi="Times New Roman"/>
          <w:color w:val="auto"/>
          <w:sz w:val="28"/>
          <w:szCs w:val="28"/>
          <w:shd w:val="clear" w:color="auto" w:fill="FFFFFF"/>
        </w:rPr>
      </w:pPr>
      <w:r w:rsidRPr="000D2B40">
        <w:rPr>
          <w:rFonts w:ascii="Times New Roman" w:hAnsi="Times New Roman"/>
          <w:color w:val="auto"/>
          <w:sz w:val="28"/>
          <w:szCs w:val="28"/>
          <w:shd w:val="clear" w:color="auto" w:fill="FFFFFF"/>
        </w:rPr>
        <w:t xml:space="preserve">- Công tác lãnh chỉ đạo đối với hoạt động của các TTHTCĐ chưa được cấp ủy Đảng và chính quyền các quan tâm, đặc biệt là cấp xã - cấp quản lý trực tiếp đối với các TTHTCĐ. </w:t>
      </w:r>
    </w:p>
    <w:p w:rsidR="00217F0D" w:rsidRPr="000D2B40" w:rsidRDefault="00217F0D" w:rsidP="00217F0D">
      <w:pPr>
        <w:pStyle w:val="NormalWeb"/>
        <w:spacing w:before="120" w:after="120"/>
        <w:ind w:firstLine="720"/>
        <w:jc w:val="both"/>
        <w:rPr>
          <w:rFonts w:ascii="Times New Roman" w:hAnsi="Times New Roman"/>
          <w:color w:val="auto"/>
          <w:sz w:val="28"/>
          <w:szCs w:val="28"/>
          <w:shd w:val="clear" w:color="auto" w:fill="FFFFFF"/>
        </w:rPr>
      </w:pPr>
      <w:r w:rsidRPr="000D2B40">
        <w:rPr>
          <w:rFonts w:ascii="Times New Roman" w:hAnsi="Times New Roman"/>
          <w:color w:val="auto"/>
          <w:sz w:val="28"/>
          <w:szCs w:val="28"/>
          <w:shd w:val="clear" w:color="auto" w:fill="FFFFFF"/>
        </w:rPr>
        <w:t xml:space="preserve">- Hoạt động của Ban Giám đốc thể hiện chưa rõ nét, cán bộ quản lý TTHTCĐ còn lúng túng trong việc xây dựng kế hoạch hoạt động ( nhiều Trung tâm xây dựng kế hoạch còn chung chung, hình thức như TTHTCĐ xã Ya Tăng, Rờ Kơi ); chưa quan tâm trong việc điều tra, khảo sát nhu cầu của người học; chưa xây dựng </w:t>
      </w:r>
      <w:r>
        <w:rPr>
          <w:rFonts w:ascii="Times New Roman" w:hAnsi="Times New Roman"/>
          <w:color w:val="auto"/>
          <w:sz w:val="28"/>
          <w:szCs w:val="28"/>
          <w:shd w:val="clear" w:color="auto" w:fill="FFFFFF"/>
        </w:rPr>
        <w:t>quy</w:t>
      </w:r>
      <w:r w:rsidRPr="000D2B40">
        <w:rPr>
          <w:rFonts w:ascii="Times New Roman" w:hAnsi="Times New Roman"/>
          <w:color w:val="auto"/>
          <w:sz w:val="28"/>
          <w:szCs w:val="28"/>
          <w:shd w:val="clear" w:color="auto" w:fill="FFFFFF"/>
        </w:rPr>
        <w:t xml:space="preserve"> chế phối hợp với các ngành, các tổ chức, đoàn thể liên quan trong việc tổ chức thực hiện nhiệm vụ…</w:t>
      </w:r>
    </w:p>
    <w:p w:rsidR="00217F0D" w:rsidRPr="000D2B40" w:rsidRDefault="00217F0D" w:rsidP="00217F0D">
      <w:pPr>
        <w:pStyle w:val="NormalWeb"/>
        <w:shd w:val="clear" w:color="auto" w:fill="FFFFFF"/>
        <w:spacing w:before="120" w:after="120"/>
        <w:ind w:firstLine="720"/>
        <w:rPr>
          <w:rFonts w:ascii="Times New Roman" w:hAnsi="Times New Roman"/>
          <w:b/>
          <w:color w:val="auto"/>
          <w:sz w:val="28"/>
          <w:szCs w:val="28"/>
          <w:shd w:val="clear" w:color="auto" w:fill="FFFFFF"/>
        </w:rPr>
      </w:pPr>
      <w:r w:rsidRPr="000D2B40">
        <w:rPr>
          <w:rFonts w:ascii="Times New Roman" w:hAnsi="Times New Roman"/>
          <w:b/>
          <w:color w:val="auto"/>
          <w:sz w:val="28"/>
          <w:szCs w:val="28"/>
          <w:shd w:val="clear" w:color="auto" w:fill="FFFFFF"/>
        </w:rPr>
        <w:t>4. Nguyên nhân  </w:t>
      </w:r>
    </w:p>
    <w:p w:rsidR="00217F0D" w:rsidRPr="000D2B40" w:rsidRDefault="00217F0D" w:rsidP="00217F0D">
      <w:pPr>
        <w:pStyle w:val="NormalWeb"/>
        <w:spacing w:before="120" w:after="120"/>
        <w:ind w:firstLine="720"/>
        <w:jc w:val="both"/>
        <w:rPr>
          <w:rFonts w:ascii="Times New Roman" w:hAnsi="Times New Roman"/>
          <w:color w:val="auto"/>
          <w:sz w:val="28"/>
          <w:szCs w:val="28"/>
          <w:shd w:val="clear" w:color="auto" w:fill="FFFFFF"/>
        </w:rPr>
      </w:pPr>
      <w:r w:rsidRPr="000D2B40">
        <w:rPr>
          <w:rFonts w:ascii="Times New Roman" w:hAnsi="Times New Roman"/>
          <w:color w:val="auto"/>
          <w:sz w:val="28"/>
          <w:szCs w:val="28"/>
          <w:shd w:val="clear" w:color="auto" w:fill="FFFFFF"/>
        </w:rPr>
        <w:t>- Có nhiều nguyên nhân dẫn đến tình trạng hoạt động không hiệu quả của các TTHTCÐ. Thứ nhất và cũng là quan trọng hàng đầu là thiếu sự quan tâm lãnh chỉ đạo của chính quyền các cấp. Thứ hai, do đội ngũ quản lý của các trung tâm được chỉ định là các Phó Chủ tịch UBND xã và Hiệu trưởng các trường tiểu học, THCS trên địa bàn xã. Ðội ngũ quản lý này thường xuyên thay đổi theo nhiệm kỳ bầu cử, luân chuyển cán cộ và thường kiêm nhiệm nhiều chức vụ, công việc dẫn đến tình trạng thiếu sót trong quản lý, điều hành hoạt động. Thứ ba, các trung tâm đều chưa có cán bộ, giáo viên chịu trách nhiệm cho hoạt động của trung tâm như các giấy tờ thủ tục cần thiết, tổng hợp số liệu xây dựng kế hoạch, báo cáo hoạt động cũng như điều tra nhu cầu học tập của người dân. Và một nguyên nhân nữa là khâu tuyên truyền chưa được quan tâm, vận động chưa hiệu quả nên sự tác động đến ý thức của người dân chưa cao.</w:t>
      </w:r>
    </w:p>
    <w:p w:rsidR="00217F0D" w:rsidRPr="000D2B40" w:rsidRDefault="00217F0D" w:rsidP="00217F0D">
      <w:pPr>
        <w:pStyle w:val="NormalWeb"/>
        <w:spacing w:before="120" w:after="120"/>
        <w:ind w:firstLine="720"/>
        <w:jc w:val="both"/>
        <w:rPr>
          <w:rFonts w:ascii="Times New Roman" w:hAnsi="Times New Roman"/>
          <w:color w:val="auto"/>
          <w:sz w:val="28"/>
          <w:szCs w:val="28"/>
          <w:shd w:val="clear" w:color="auto" w:fill="FFFFFF"/>
        </w:rPr>
      </w:pPr>
      <w:r w:rsidRPr="000D2B40">
        <w:rPr>
          <w:rStyle w:val="Emphasis"/>
          <w:rFonts w:ascii="Times New Roman" w:hAnsi="Times New Roman"/>
          <w:b/>
          <w:bCs/>
          <w:color w:val="auto"/>
          <w:sz w:val="28"/>
          <w:szCs w:val="28"/>
          <w:shd w:val="clear" w:color="auto" w:fill="FFFFFF"/>
        </w:rPr>
        <w:t xml:space="preserve">- </w:t>
      </w:r>
      <w:r w:rsidRPr="000D2B40">
        <w:rPr>
          <w:rFonts w:ascii="Times New Roman" w:hAnsi="Times New Roman"/>
          <w:color w:val="auto"/>
          <w:sz w:val="28"/>
          <w:szCs w:val="28"/>
          <w:shd w:val="clear" w:color="auto" w:fill="FFFFFF"/>
        </w:rPr>
        <w:t xml:space="preserve">UBND xã chưa quan tâm giao nhiệm vụ và bố trí ngân sách hỗ trợ hoạt động của các TTHTCĐ; trong các báo cáo đánh giá tình hình thực hiện nhiệm vụ phát triển kinh tế  - xã hội hàng tháng, quí, năm cũng như trong việc đề ra phương hướng, nhiệm vụ hầu như không đề cập đến hoạt động của các TTHTCĐ; nhận thức về phân cấp quản lý đối với TTHTCĐ không thống nhất giữa </w:t>
      </w:r>
      <w:r>
        <w:rPr>
          <w:rFonts w:ascii="Times New Roman" w:hAnsi="Times New Roman"/>
          <w:color w:val="auto"/>
          <w:sz w:val="28"/>
          <w:szCs w:val="28"/>
          <w:shd w:val="clear" w:color="auto" w:fill="FFFFFF"/>
        </w:rPr>
        <w:t>quy</w:t>
      </w:r>
      <w:r w:rsidRPr="000D2B40">
        <w:rPr>
          <w:rFonts w:ascii="Times New Roman" w:hAnsi="Times New Roman"/>
          <w:color w:val="auto"/>
          <w:sz w:val="28"/>
          <w:szCs w:val="28"/>
          <w:shd w:val="clear" w:color="auto" w:fill="FFFFFF"/>
        </w:rPr>
        <w:t xml:space="preserve"> định của Nhà nước và mẫu con dấu hiện tại mà các TTHTCĐ đang sử dụng: theo </w:t>
      </w:r>
      <w:r>
        <w:rPr>
          <w:rFonts w:ascii="Times New Roman" w:hAnsi="Times New Roman"/>
          <w:color w:val="auto"/>
          <w:sz w:val="28"/>
          <w:szCs w:val="28"/>
          <w:shd w:val="clear" w:color="auto" w:fill="FFFFFF"/>
        </w:rPr>
        <w:t>quy</w:t>
      </w:r>
      <w:r w:rsidRPr="000D2B40">
        <w:rPr>
          <w:rFonts w:ascii="Times New Roman" w:hAnsi="Times New Roman"/>
          <w:color w:val="auto"/>
          <w:sz w:val="28"/>
          <w:szCs w:val="28"/>
          <w:shd w:val="clear" w:color="auto" w:fill="FFFFFF"/>
        </w:rPr>
        <w:t xml:space="preserve"> định tại Điều 6, </w:t>
      </w:r>
      <w:r>
        <w:rPr>
          <w:rFonts w:ascii="Times New Roman" w:hAnsi="Times New Roman"/>
          <w:color w:val="auto"/>
          <w:sz w:val="28"/>
          <w:szCs w:val="28"/>
          <w:shd w:val="clear" w:color="auto" w:fill="FFFFFF"/>
        </w:rPr>
        <w:t>Quy</w:t>
      </w:r>
      <w:r w:rsidRPr="000D2B40">
        <w:rPr>
          <w:rFonts w:ascii="Times New Roman" w:hAnsi="Times New Roman"/>
          <w:color w:val="auto"/>
          <w:sz w:val="28"/>
          <w:szCs w:val="28"/>
          <w:shd w:val="clear" w:color="auto" w:fill="FFFFFF"/>
        </w:rPr>
        <w:t xml:space="preserve"> chế Tổ chức và hoạt động của trung tâm học tập cộng đồng tại xã, phường, thị trấn ban hành kèm theo Quyết định số 09/200//QĐ –BGDĐT ngày 24/3/2008 của Bộ trưởng Bộ Giáo dục và Đào tạo thì “Trung tâm học tập cộng đồng do Ủy ban nhân dân cấp xã quản lý trực tiếp”, như vậy đây là một đơn vị sự nghiệp trực thuộc UBND cấp xã, trong khi đó mẫu con dấu mà các trung tâm đang sử dụng lại thể hiện là đơn vị sự nghiệp trực thuộc UBND cấp huyện.</w:t>
      </w:r>
    </w:p>
    <w:p w:rsidR="00217F0D" w:rsidRPr="000D2B40" w:rsidRDefault="00217F0D" w:rsidP="00217F0D">
      <w:pPr>
        <w:pStyle w:val="NormalWeb"/>
        <w:spacing w:before="120" w:after="120"/>
        <w:ind w:firstLine="720"/>
        <w:jc w:val="both"/>
        <w:rPr>
          <w:rFonts w:ascii="Times New Roman" w:hAnsi="Times New Roman"/>
          <w:color w:val="auto"/>
          <w:sz w:val="28"/>
          <w:szCs w:val="28"/>
          <w:shd w:val="clear" w:color="auto" w:fill="FFFFFF"/>
        </w:rPr>
      </w:pPr>
      <w:r w:rsidRPr="000D2B40">
        <w:rPr>
          <w:rFonts w:ascii="Times New Roman" w:hAnsi="Times New Roman"/>
          <w:color w:val="auto"/>
          <w:sz w:val="28"/>
          <w:szCs w:val="28"/>
          <w:shd w:val="clear" w:color="auto" w:fill="FFFFFF"/>
        </w:rPr>
        <w:t xml:space="preserve">- Một trong những khó khăn trong việc điều hành hoạt động của các TTHTCĐ đó là: cán bộ quản lý TTHTCĐ thường xuyên thay đổi theo nhiệm kỳ bầu cử, hoặc do luân chuyển cán bộ. Trong khi đó, người dân chưa thường xuyên tiếp cận các chương trình giáo dục xóa mù, chuyển giao tiến bộ khoa học kỹ thuật; tư tưởng ỷ lại vào Nhà nước còn diễn ra khá phổ biến trong cán bộ quản lý và nhân </w:t>
      </w:r>
      <w:r w:rsidRPr="000D2B40">
        <w:rPr>
          <w:rFonts w:ascii="Times New Roman" w:hAnsi="Times New Roman"/>
          <w:color w:val="auto"/>
          <w:sz w:val="28"/>
          <w:szCs w:val="28"/>
          <w:shd w:val="clear" w:color="auto" w:fill="FFFFFF"/>
        </w:rPr>
        <w:lastRenderedPageBreak/>
        <w:t>dân (có tiền mới đi học). Do đó, việc vận động người dân trong độ tuổi lao động đi học gặp nhiều khó khăn.            </w:t>
      </w:r>
      <w:r w:rsidRPr="000D2B40">
        <w:rPr>
          <w:rFonts w:ascii="Times New Roman" w:hAnsi="Times New Roman"/>
          <w:color w:val="auto"/>
          <w:sz w:val="28"/>
          <w:szCs w:val="28"/>
          <w:lang w:val="vi-VN"/>
        </w:rPr>
        <w:t> </w:t>
      </w:r>
    </w:p>
    <w:p w:rsidR="00217F0D" w:rsidRPr="000D2B40" w:rsidRDefault="00217F0D" w:rsidP="00217F0D">
      <w:pPr>
        <w:spacing w:before="120" w:after="120"/>
        <w:ind w:firstLine="720"/>
        <w:jc w:val="both"/>
        <w:rPr>
          <w:b/>
          <w:color w:val="auto"/>
          <w:szCs w:val="28"/>
        </w:rPr>
      </w:pPr>
      <w:r w:rsidRPr="000D2B40">
        <w:rPr>
          <w:b/>
          <w:color w:val="auto"/>
          <w:szCs w:val="28"/>
        </w:rPr>
        <w:t>II. ĐỀ XUẤT, KIẾN NGHỊ</w:t>
      </w:r>
    </w:p>
    <w:p w:rsidR="00217F0D" w:rsidRPr="000D2B40" w:rsidRDefault="00217F0D" w:rsidP="00217F0D">
      <w:pPr>
        <w:spacing w:before="120" w:after="120"/>
        <w:ind w:firstLine="709"/>
        <w:jc w:val="both"/>
        <w:rPr>
          <w:b/>
          <w:color w:val="auto"/>
          <w:szCs w:val="28"/>
        </w:rPr>
      </w:pPr>
      <w:r w:rsidRPr="000D2B40">
        <w:rPr>
          <w:b/>
          <w:color w:val="auto"/>
          <w:szCs w:val="28"/>
        </w:rPr>
        <w:t>1. Đối với UBND huyện</w:t>
      </w:r>
    </w:p>
    <w:p w:rsidR="00217F0D" w:rsidRPr="000D2B40" w:rsidRDefault="00217F0D" w:rsidP="00217F0D">
      <w:pPr>
        <w:spacing w:before="120" w:after="120"/>
        <w:ind w:firstLine="720"/>
        <w:jc w:val="both"/>
        <w:rPr>
          <w:color w:val="auto"/>
          <w:szCs w:val="28"/>
        </w:rPr>
      </w:pPr>
      <w:r w:rsidRPr="000D2B40">
        <w:rPr>
          <w:color w:val="auto"/>
          <w:szCs w:val="28"/>
        </w:rPr>
        <w:t>- Đề nghị UBND huyện quan tâm đầu tư kinh phí xây dựng trụ sở của Trung tâm học tập cộng đồng, cơ sở vật chất, máy móc, trang thiết bị phục vụ cho công tác của Trung tâm.</w:t>
      </w:r>
    </w:p>
    <w:p w:rsidR="00217F0D" w:rsidRPr="000D2B40" w:rsidRDefault="00217F0D" w:rsidP="00217F0D">
      <w:pPr>
        <w:spacing w:before="120" w:after="120"/>
        <w:ind w:firstLine="720"/>
        <w:jc w:val="both"/>
        <w:rPr>
          <w:color w:val="auto"/>
          <w:szCs w:val="28"/>
        </w:rPr>
      </w:pPr>
      <w:r w:rsidRPr="000D2B40">
        <w:rPr>
          <w:color w:val="auto"/>
          <w:szCs w:val="28"/>
        </w:rPr>
        <w:t xml:space="preserve">- Có chính sách hỗ trợ kinh phí cho cán bộ quản lý kết hợp công tác đào tạo bồi dưỡng cán bộ quản lý. </w:t>
      </w:r>
    </w:p>
    <w:p w:rsidR="00217F0D" w:rsidRPr="000D2B40" w:rsidRDefault="00217F0D" w:rsidP="00217F0D">
      <w:pPr>
        <w:spacing w:before="120" w:after="120"/>
        <w:ind w:firstLine="720"/>
        <w:jc w:val="both"/>
        <w:rPr>
          <w:color w:val="auto"/>
          <w:szCs w:val="28"/>
        </w:rPr>
      </w:pPr>
      <w:r w:rsidRPr="000D2B40">
        <w:rPr>
          <w:color w:val="auto"/>
          <w:szCs w:val="28"/>
        </w:rPr>
        <w:t>- Thành lập câu lạc bộ giám đốc Trung tâm học tập cộng đồng hoặc các câu lạc bộ ban quản lý trung tâm học tập cộng đồng và tăng cường tổ chức các buổi tọa đàm trao đổi kinh nghiệm vể quản lý TTHTCĐ.</w:t>
      </w:r>
      <w:r w:rsidR="00554A40">
        <w:rPr>
          <w:color w:val="auto"/>
          <w:szCs w:val="28"/>
        </w:rPr>
        <w:t xml:space="preserve"> </w:t>
      </w:r>
      <w:r w:rsidRPr="000D2B40">
        <w:rPr>
          <w:color w:val="auto"/>
          <w:szCs w:val="28"/>
        </w:rPr>
        <w:t>Tổ chức cho đội ngũ cán bộ quản lý của TTHTCĐ được giao lưu trong và ngoài địa phương nhằm học hỏi và rút kinh nghiệm về công tác quản lý.</w:t>
      </w:r>
    </w:p>
    <w:p w:rsidR="00217F0D" w:rsidRPr="000D2B40" w:rsidRDefault="00217F0D" w:rsidP="00217F0D">
      <w:pPr>
        <w:spacing w:before="120" w:after="120"/>
        <w:ind w:firstLine="720"/>
        <w:jc w:val="both"/>
        <w:rPr>
          <w:color w:val="auto"/>
          <w:szCs w:val="28"/>
        </w:rPr>
      </w:pPr>
      <w:r w:rsidRPr="000D2B40">
        <w:rPr>
          <w:color w:val="auto"/>
          <w:szCs w:val="28"/>
        </w:rPr>
        <w:t>- Chỉ đạo Phòng giáo dục – đào tạo huyện và cá</w:t>
      </w:r>
      <w:r w:rsidR="00554A40">
        <w:rPr>
          <w:color w:val="auto"/>
          <w:szCs w:val="28"/>
        </w:rPr>
        <w:t xml:space="preserve">c cơ quan chức năng tăng cường </w:t>
      </w:r>
      <w:r w:rsidRPr="000D2B40">
        <w:rPr>
          <w:color w:val="auto"/>
          <w:szCs w:val="28"/>
        </w:rPr>
        <w:t xml:space="preserve">công tác kiểm tra, giám sát việc thực hiện nhiệm vụ của TTHTCĐ các xã, thị trấn trên địa bàn. </w:t>
      </w:r>
    </w:p>
    <w:p w:rsidR="00217F0D" w:rsidRPr="000D2B40" w:rsidRDefault="00217F0D" w:rsidP="00217F0D">
      <w:pPr>
        <w:spacing w:before="120" w:after="120"/>
        <w:ind w:firstLine="720"/>
        <w:jc w:val="both"/>
        <w:rPr>
          <w:b/>
          <w:color w:val="auto"/>
          <w:szCs w:val="28"/>
        </w:rPr>
      </w:pPr>
      <w:r w:rsidRPr="000D2B40">
        <w:rPr>
          <w:b/>
          <w:color w:val="auto"/>
          <w:szCs w:val="28"/>
        </w:rPr>
        <w:t>2. Đối với các xã, thị trấn</w:t>
      </w:r>
    </w:p>
    <w:p w:rsidR="00217F0D" w:rsidRPr="000D2B40" w:rsidRDefault="00217F0D" w:rsidP="00217F0D">
      <w:pPr>
        <w:spacing w:before="120" w:after="120"/>
        <w:ind w:firstLine="720"/>
        <w:jc w:val="both"/>
        <w:rPr>
          <w:color w:val="auto"/>
          <w:szCs w:val="28"/>
        </w:rPr>
      </w:pPr>
      <w:r w:rsidRPr="000D2B40">
        <w:rPr>
          <w:color w:val="auto"/>
          <w:szCs w:val="28"/>
        </w:rPr>
        <w:t xml:space="preserve">+ Tăng cường công tác tuyên truyền, vận động để người dân và các tổ chức ban, ngành đoàn thể tại địa phương thấy rõ vị trí và tầm quan trọng của các hoạt động của Trung tâm học tập cộng đồng. </w:t>
      </w:r>
    </w:p>
    <w:p w:rsidR="00217F0D" w:rsidRPr="000D2B40" w:rsidRDefault="00554A40" w:rsidP="00217F0D">
      <w:pPr>
        <w:spacing w:before="120" w:after="120"/>
        <w:ind w:firstLine="720"/>
        <w:jc w:val="both"/>
        <w:rPr>
          <w:color w:val="auto"/>
          <w:szCs w:val="28"/>
        </w:rPr>
      </w:pPr>
      <w:r>
        <w:rPr>
          <w:color w:val="auto"/>
          <w:szCs w:val="28"/>
        </w:rPr>
        <w:t>+ Phối hợp hiệu quả với các ban</w:t>
      </w:r>
      <w:r w:rsidR="00217F0D" w:rsidRPr="000D2B40">
        <w:rPr>
          <w:color w:val="auto"/>
          <w:szCs w:val="28"/>
        </w:rPr>
        <w:t>,</w:t>
      </w:r>
      <w:r>
        <w:rPr>
          <w:color w:val="auto"/>
          <w:szCs w:val="28"/>
        </w:rPr>
        <w:t xml:space="preserve"> </w:t>
      </w:r>
      <w:r w:rsidR="00217F0D" w:rsidRPr="000D2B40">
        <w:rPr>
          <w:color w:val="auto"/>
          <w:szCs w:val="28"/>
        </w:rPr>
        <w:t xml:space="preserve">ngành, đoàn thể, tổ chức xã hội, cơ quan, doanh nghiệp đóng chân trên địa bàn huyện để </w:t>
      </w:r>
      <w:r>
        <w:rPr>
          <w:color w:val="auto"/>
          <w:szCs w:val="28"/>
        </w:rPr>
        <w:t>đ</w:t>
      </w:r>
      <w:r w:rsidR="00217F0D" w:rsidRPr="000D2B40">
        <w:rPr>
          <w:color w:val="auto"/>
          <w:szCs w:val="28"/>
        </w:rPr>
        <w:t>ầu tư nguồn lực cho các Trung tâm học tập cộng đồng.</w:t>
      </w:r>
    </w:p>
    <w:p w:rsidR="00217F0D" w:rsidRPr="000D2B40" w:rsidRDefault="00217F0D" w:rsidP="00217F0D">
      <w:pPr>
        <w:spacing w:before="120" w:after="120"/>
        <w:ind w:firstLine="720"/>
        <w:jc w:val="both"/>
        <w:rPr>
          <w:color w:val="auto"/>
          <w:szCs w:val="28"/>
        </w:rPr>
      </w:pPr>
      <w:r w:rsidRPr="000D2B40">
        <w:rPr>
          <w:color w:val="auto"/>
          <w:szCs w:val="28"/>
        </w:rPr>
        <w:t xml:space="preserve"> + Phối hợp cùng với phòng giáo dục và đào tạo, hội khuyến học, Đảng ủy, UBND các xã, thị trấn trong việc điều hành tổ chức, thực hiện hiệu quả các hoạt động tại Trung tâm học tập cộng đồng trên địa bàn huyện.</w:t>
      </w:r>
    </w:p>
    <w:p w:rsidR="00217F0D" w:rsidRPr="000D2B40" w:rsidRDefault="00217F0D" w:rsidP="00217F0D">
      <w:pPr>
        <w:spacing w:before="120" w:after="120"/>
        <w:ind w:firstLine="720"/>
        <w:jc w:val="both"/>
        <w:rPr>
          <w:color w:val="auto"/>
          <w:szCs w:val="28"/>
        </w:rPr>
      </w:pPr>
      <w:r w:rsidRPr="000D2B40">
        <w:rPr>
          <w:color w:val="auto"/>
          <w:szCs w:val="28"/>
        </w:rPr>
        <w:t>+ Xây dựng kế hoạch học tập của TTHTCĐ, đồng thời triển khai thực hiện có hiệu quả theo đúng chức năng, nhiệm vụ quy định.</w:t>
      </w:r>
    </w:p>
    <w:p w:rsidR="00217F0D" w:rsidRPr="000D2B40" w:rsidRDefault="00217F0D" w:rsidP="00217F0D">
      <w:pPr>
        <w:spacing w:before="120" w:after="120"/>
        <w:ind w:firstLine="720"/>
        <w:jc w:val="both"/>
        <w:rPr>
          <w:color w:val="auto"/>
          <w:szCs w:val="28"/>
        </w:rPr>
      </w:pPr>
      <w:r w:rsidRPr="000D2B40">
        <w:rPr>
          <w:color w:val="auto"/>
          <w:szCs w:val="28"/>
        </w:rPr>
        <w:t xml:space="preserve">Trên đây là báo cáo kết quả giám sát công tác tổ chức hoạt động của các trung tâm Học tập cộng đồng trên địa bàn huyện giai đoạn 2014 - 2016. </w:t>
      </w:r>
    </w:p>
    <w:p w:rsidR="00217F0D" w:rsidRPr="000D2B40" w:rsidRDefault="00217F0D" w:rsidP="00217F0D">
      <w:pPr>
        <w:spacing w:before="120" w:after="120"/>
        <w:ind w:firstLine="720"/>
        <w:jc w:val="both"/>
        <w:rPr>
          <w:color w:val="auto"/>
          <w:szCs w:val="28"/>
        </w:rPr>
      </w:pPr>
      <w:r w:rsidRPr="000D2B40">
        <w:rPr>
          <w:color w:val="auto"/>
          <w:szCs w:val="28"/>
        </w:rPr>
        <w:t>Đoàn giám sát của Ban pháp chế báo cáo HĐND huyện biết./.</w:t>
      </w:r>
    </w:p>
    <w:tbl>
      <w:tblPr>
        <w:tblW w:w="96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08"/>
        <w:gridCol w:w="4973"/>
      </w:tblGrid>
      <w:tr w:rsidR="00217F0D" w:rsidRPr="000D2B40" w:rsidTr="00A0367B">
        <w:trPr>
          <w:trHeight w:val="1722"/>
        </w:trPr>
        <w:tc>
          <w:tcPr>
            <w:tcW w:w="4708" w:type="dxa"/>
            <w:tcBorders>
              <w:top w:val="nil"/>
              <w:left w:val="nil"/>
              <w:bottom w:val="nil"/>
              <w:right w:val="nil"/>
            </w:tcBorders>
            <w:hideMark/>
          </w:tcPr>
          <w:p w:rsidR="00217F0D" w:rsidRPr="000D2B40" w:rsidRDefault="00217F0D" w:rsidP="00A0367B">
            <w:pPr>
              <w:jc w:val="both"/>
              <w:rPr>
                <w:color w:val="auto"/>
                <w:sz w:val="24"/>
                <w:lang w:val="pt-BR"/>
              </w:rPr>
            </w:pPr>
            <w:r w:rsidRPr="000D2B40">
              <w:rPr>
                <w:b/>
                <w:i/>
                <w:color w:val="auto"/>
                <w:sz w:val="24"/>
                <w:lang w:val="pt-BR"/>
              </w:rPr>
              <w:t>Nơi nhận</w:t>
            </w:r>
            <w:r w:rsidRPr="000D2B40">
              <w:rPr>
                <w:color w:val="auto"/>
                <w:sz w:val="24"/>
                <w:lang w:val="pt-BR"/>
              </w:rPr>
              <w:t>:</w:t>
            </w:r>
          </w:p>
          <w:p w:rsidR="00217F0D" w:rsidRPr="000D2B40" w:rsidRDefault="00217F0D" w:rsidP="00A0367B">
            <w:pPr>
              <w:jc w:val="both"/>
              <w:rPr>
                <w:color w:val="auto"/>
                <w:sz w:val="22"/>
                <w:lang w:val="pt-BR"/>
              </w:rPr>
            </w:pPr>
            <w:r w:rsidRPr="000D2B40">
              <w:rPr>
                <w:color w:val="auto"/>
                <w:sz w:val="22"/>
                <w:szCs w:val="22"/>
                <w:lang w:val="pt-BR"/>
              </w:rPr>
              <w:t>- Đại biểu HĐND huyện;</w:t>
            </w:r>
          </w:p>
          <w:p w:rsidR="00217F0D" w:rsidRPr="000D2B40" w:rsidRDefault="00217F0D" w:rsidP="00A0367B">
            <w:pPr>
              <w:jc w:val="both"/>
              <w:rPr>
                <w:color w:val="auto"/>
                <w:sz w:val="22"/>
                <w:lang w:val="pt-BR"/>
              </w:rPr>
            </w:pPr>
            <w:r w:rsidRPr="000D2B40">
              <w:rPr>
                <w:color w:val="auto"/>
                <w:sz w:val="22"/>
                <w:szCs w:val="22"/>
                <w:lang w:val="pt-BR"/>
              </w:rPr>
              <w:t>- UBND huyện;</w:t>
            </w:r>
          </w:p>
          <w:p w:rsidR="00217F0D" w:rsidRPr="000D2B40" w:rsidRDefault="00217F0D" w:rsidP="00A0367B">
            <w:pPr>
              <w:jc w:val="both"/>
              <w:rPr>
                <w:color w:val="auto"/>
                <w:sz w:val="22"/>
              </w:rPr>
            </w:pPr>
            <w:r w:rsidRPr="000D2B40">
              <w:rPr>
                <w:color w:val="auto"/>
                <w:sz w:val="22"/>
                <w:szCs w:val="22"/>
              </w:rPr>
              <w:t>- Lưu: VT</w:t>
            </w:r>
            <w:r w:rsidRPr="000D2B40">
              <w:rPr>
                <w:color w:val="auto"/>
                <w:sz w:val="22"/>
                <w:szCs w:val="22"/>
                <w:vertAlign w:val="subscript"/>
              </w:rPr>
              <w:t xml:space="preserve">, </w:t>
            </w:r>
            <w:r w:rsidRPr="000D2B40">
              <w:rPr>
                <w:color w:val="auto"/>
                <w:sz w:val="22"/>
                <w:szCs w:val="22"/>
              </w:rPr>
              <w:t>BPC.</w:t>
            </w:r>
          </w:p>
          <w:p w:rsidR="00217F0D" w:rsidRPr="000D2B40" w:rsidRDefault="00217F0D" w:rsidP="00A0367B">
            <w:pPr>
              <w:jc w:val="both"/>
              <w:rPr>
                <w:b/>
                <w:i/>
                <w:color w:val="auto"/>
              </w:rPr>
            </w:pPr>
          </w:p>
        </w:tc>
        <w:tc>
          <w:tcPr>
            <w:tcW w:w="4973" w:type="dxa"/>
            <w:tcBorders>
              <w:top w:val="nil"/>
              <w:left w:val="nil"/>
              <w:bottom w:val="nil"/>
              <w:right w:val="nil"/>
            </w:tcBorders>
          </w:tcPr>
          <w:p w:rsidR="00217F0D" w:rsidRPr="000D2B40" w:rsidRDefault="00217F0D" w:rsidP="00A0367B">
            <w:pPr>
              <w:jc w:val="center"/>
              <w:rPr>
                <w:b/>
                <w:color w:val="auto"/>
              </w:rPr>
            </w:pPr>
            <w:r w:rsidRPr="000D2B40">
              <w:rPr>
                <w:b/>
                <w:color w:val="auto"/>
              </w:rPr>
              <w:t>TM. BAN PHÁP CHẾ</w:t>
            </w:r>
          </w:p>
          <w:p w:rsidR="00217F0D" w:rsidRPr="000D2B40" w:rsidRDefault="00217F0D" w:rsidP="00A0367B">
            <w:pPr>
              <w:tabs>
                <w:tab w:val="center" w:pos="2321"/>
                <w:tab w:val="right" w:pos="4642"/>
              </w:tabs>
              <w:jc w:val="center"/>
              <w:rPr>
                <w:b/>
                <w:color w:val="auto"/>
                <w:lang w:val="pt-BR"/>
              </w:rPr>
            </w:pPr>
            <w:r w:rsidRPr="000D2B40">
              <w:rPr>
                <w:b/>
                <w:color w:val="auto"/>
                <w:lang w:val="pt-BR"/>
              </w:rPr>
              <w:t>TRƯỞNG BAN</w:t>
            </w:r>
          </w:p>
          <w:p w:rsidR="00217F0D" w:rsidRPr="000D2B40" w:rsidRDefault="00217F0D" w:rsidP="00A0367B">
            <w:pPr>
              <w:tabs>
                <w:tab w:val="center" w:pos="2321"/>
                <w:tab w:val="right" w:pos="4642"/>
              </w:tabs>
              <w:jc w:val="center"/>
              <w:rPr>
                <w:b/>
                <w:color w:val="auto"/>
                <w:lang w:val="pt-BR"/>
              </w:rPr>
            </w:pPr>
            <w:r w:rsidRPr="000D2B40">
              <w:rPr>
                <w:b/>
                <w:color w:val="auto"/>
                <w:lang w:val="pt-BR"/>
              </w:rPr>
              <w:t xml:space="preserve"> (Đã ký)</w:t>
            </w:r>
          </w:p>
          <w:p w:rsidR="00217F0D" w:rsidRPr="000D2B40" w:rsidRDefault="00217F0D" w:rsidP="00A0367B">
            <w:pPr>
              <w:tabs>
                <w:tab w:val="center" w:pos="2321"/>
                <w:tab w:val="right" w:pos="4642"/>
              </w:tabs>
              <w:jc w:val="center"/>
              <w:rPr>
                <w:b/>
                <w:color w:val="auto"/>
                <w:lang w:val="pt-BR"/>
              </w:rPr>
            </w:pPr>
          </w:p>
          <w:p w:rsidR="00217F0D" w:rsidRPr="000D2B40" w:rsidRDefault="00217F0D" w:rsidP="00A0367B">
            <w:pPr>
              <w:tabs>
                <w:tab w:val="center" w:pos="2321"/>
                <w:tab w:val="right" w:pos="4642"/>
              </w:tabs>
              <w:jc w:val="center"/>
              <w:rPr>
                <w:b/>
                <w:color w:val="auto"/>
                <w:lang w:val="pt-BR"/>
              </w:rPr>
            </w:pPr>
            <w:r w:rsidRPr="000D2B40">
              <w:rPr>
                <w:b/>
                <w:color w:val="auto"/>
                <w:lang w:val="pt-BR"/>
              </w:rPr>
              <w:t>Nguyễn Đăng Khoa</w:t>
            </w:r>
          </w:p>
        </w:tc>
      </w:tr>
    </w:tbl>
    <w:p w:rsidR="00217F0D" w:rsidRDefault="00217F0D" w:rsidP="00217F0D">
      <w:pPr>
        <w:spacing w:before="120" w:after="120"/>
        <w:ind w:firstLine="720"/>
        <w:jc w:val="both"/>
        <w:rPr>
          <w:b/>
          <w:color w:val="auto"/>
          <w:szCs w:val="28"/>
        </w:rPr>
      </w:pPr>
    </w:p>
    <w:p w:rsidR="00217F0D" w:rsidRPr="000D2B40" w:rsidRDefault="00217F0D" w:rsidP="00217F0D">
      <w:pPr>
        <w:spacing w:before="120" w:after="120"/>
        <w:ind w:firstLine="720"/>
        <w:jc w:val="both"/>
        <w:rPr>
          <w:b/>
          <w:color w:val="auto"/>
          <w:szCs w:val="28"/>
        </w:rPr>
      </w:pPr>
    </w:p>
    <w:p w:rsidR="00E619B6" w:rsidRDefault="00E619B6"/>
    <w:sectPr w:rsidR="00E619B6" w:rsidSect="00B80256">
      <w:pgSz w:w="11907" w:h="16840" w:code="9"/>
      <w:pgMar w:top="1134" w:right="851"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20"/>
  <w:drawingGridVerticalSpacing w:val="381"/>
  <w:displayHorizontalDrawingGridEvery w:val="2"/>
  <w:characterSpacingControl w:val="doNotCompress"/>
  <w:compat/>
  <w:rsids>
    <w:rsidRoot w:val="00217F0D"/>
    <w:rsid w:val="00217F0D"/>
    <w:rsid w:val="004A5DBD"/>
    <w:rsid w:val="00554A40"/>
    <w:rsid w:val="0086205A"/>
    <w:rsid w:val="00B80256"/>
    <w:rsid w:val="00E365DD"/>
    <w:rsid w:val="00E619B6"/>
    <w:rsid w:val="00FA4F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F0D"/>
    <w:pPr>
      <w:jc w:val="left"/>
    </w:pPr>
    <w:rPr>
      <w:rFonts w:ascii="Times New Roman" w:eastAsia="Times New Roman" w:hAnsi="Times New Roman" w:cs="Times New Roman"/>
      <w:color w:val="0000FF"/>
      <w:sz w:val="28"/>
      <w:szCs w:val="24"/>
    </w:rPr>
  </w:style>
  <w:style w:type="paragraph" w:styleId="Heading2">
    <w:name w:val="heading 2"/>
    <w:basedOn w:val="Normal"/>
    <w:next w:val="Normal"/>
    <w:link w:val="Heading2Char"/>
    <w:qFormat/>
    <w:rsid w:val="00217F0D"/>
    <w:pPr>
      <w:keepNext/>
      <w:jc w:val="center"/>
      <w:outlineLvl w:val="1"/>
    </w:pPr>
    <w:rPr>
      <w:i/>
      <w:color w:val="auto"/>
      <w:sz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17F0D"/>
    <w:rPr>
      <w:rFonts w:ascii="Times New Roman" w:eastAsia="Times New Roman" w:hAnsi="Times New Roman" w:cs="Times New Roman"/>
      <w:i/>
      <w:sz w:val="24"/>
      <w:szCs w:val="24"/>
      <w:lang w:val="vi-VN" w:eastAsia="vi-VN"/>
    </w:rPr>
  </w:style>
  <w:style w:type="paragraph" w:styleId="NormalWeb">
    <w:name w:val="Normal (Web)"/>
    <w:basedOn w:val="Normal"/>
    <w:uiPriority w:val="99"/>
    <w:rsid w:val="00217F0D"/>
    <w:rPr>
      <w:rFonts w:ascii="Verdana" w:hAnsi="Verdana"/>
      <w:color w:val="000000"/>
      <w:sz w:val="16"/>
      <w:szCs w:val="16"/>
    </w:rPr>
  </w:style>
  <w:style w:type="character" w:styleId="Emphasis">
    <w:name w:val="Emphasis"/>
    <w:basedOn w:val="DefaultParagraphFont"/>
    <w:uiPriority w:val="20"/>
    <w:qFormat/>
    <w:rsid w:val="00217F0D"/>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1553</Words>
  <Characters>8855</Characters>
  <Application>Microsoft Office Word</Application>
  <DocSecurity>0</DocSecurity>
  <Lines>73</Lines>
  <Paragraphs>20</Paragraphs>
  <ScaleCrop>false</ScaleCrop>
  <Company/>
  <LinksUpToDate>false</LinksUpToDate>
  <CharactersWithSpaces>10388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MT-0934466369</dc:creator>
  <cp:lastModifiedBy>MT-0934466369</cp:lastModifiedBy>
  <cp:revision>2</cp:revision>
  <dcterms:created xsi:type="dcterms:W3CDTF">2018-05-23T07:27:00Z</dcterms:created>
  <dcterms:modified xsi:type="dcterms:W3CDTF">2018-05-23T07:28:00Z</dcterms:modified>
</cp:coreProperties>
</file>