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5918"/>
      </w:tblGrid>
      <w:tr w:rsidR="00775A5D" w:rsidRPr="00D80CA3" w:rsidTr="00787582">
        <w:trPr>
          <w:trHeight w:hRule="exact" w:val="852"/>
        </w:trPr>
        <w:tc>
          <w:tcPr>
            <w:tcW w:w="1844" w:type="pct"/>
            <w:tcBorders>
              <w:top w:val="nil"/>
              <w:left w:val="nil"/>
              <w:bottom w:val="nil"/>
              <w:right w:val="nil"/>
            </w:tcBorders>
            <w:shd w:val="clear" w:color="auto" w:fill="auto"/>
          </w:tcPr>
          <w:p w:rsidR="00775A5D" w:rsidRPr="00D80CA3" w:rsidRDefault="00775A5D" w:rsidP="00787582">
            <w:pPr>
              <w:pStyle w:val="Heading2"/>
              <w:rPr>
                <w:b/>
                <w:i w:val="0"/>
                <w:sz w:val="26"/>
                <w:szCs w:val="26"/>
              </w:rPr>
            </w:pPr>
            <w:r w:rsidRPr="00D80CA3">
              <w:rPr>
                <w:b/>
                <w:i w:val="0"/>
                <w:sz w:val="26"/>
                <w:szCs w:val="26"/>
              </w:rPr>
              <w:t>HỘI ĐỒNG NHÂN DÂN</w:t>
            </w:r>
          </w:p>
          <w:p w:rsidR="00775A5D" w:rsidRPr="00D80CA3" w:rsidRDefault="00775A5D" w:rsidP="00787582">
            <w:pPr>
              <w:jc w:val="center"/>
              <w:rPr>
                <w:b/>
                <w:color w:val="auto"/>
                <w:sz w:val="26"/>
              </w:rPr>
            </w:pPr>
            <w:r>
              <w:rPr>
                <w:b/>
                <w:noProof/>
                <w:color w:val="auto"/>
                <w:sz w:val="26"/>
              </w:rPr>
              <w:pict>
                <v:shapetype id="_x0000_t32" coordsize="21600,21600" o:spt="32" o:oned="t" path="m,l21600,21600e" filled="f">
                  <v:path arrowok="t" fillok="f" o:connecttype="none"/>
                  <o:lock v:ext="edit" shapetype="t"/>
                </v:shapetype>
                <v:shape id="_x0000_s1027" type="#_x0000_t32" style="position:absolute;left:0;text-align:left;margin-left:63.9pt;margin-top:16.35pt;width:21.3pt;height:0;z-index:251661312" o:connectortype="straight"/>
              </w:pict>
            </w:r>
            <w:r w:rsidRPr="00D80CA3">
              <w:rPr>
                <w:b/>
                <w:color w:val="auto"/>
                <w:sz w:val="26"/>
              </w:rPr>
              <w:t>HUYỆN SA THẦY</w:t>
            </w:r>
          </w:p>
        </w:tc>
        <w:tc>
          <w:tcPr>
            <w:tcW w:w="3156" w:type="pct"/>
            <w:tcBorders>
              <w:top w:val="nil"/>
              <w:left w:val="nil"/>
              <w:bottom w:val="nil"/>
              <w:right w:val="nil"/>
            </w:tcBorders>
            <w:shd w:val="clear" w:color="auto" w:fill="auto"/>
          </w:tcPr>
          <w:p w:rsidR="00775A5D" w:rsidRPr="00D80CA3" w:rsidRDefault="00775A5D" w:rsidP="00787582">
            <w:pPr>
              <w:spacing w:before="60"/>
              <w:jc w:val="center"/>
              <w:rPr>
                <w:b/>
                <w:color w:val="auto"/>
                <w:sz w:val="26"/>
              </w:rPr>
            </w:pPr>
            <w:r w:rsidRPr="00D80CA3">
              <w:rPr>
                <w:b/>
                <w:color w:val="auto"/>
                <w:sz w:val="26"/>
              </w:rPr>
              <w:t>CỘNG HÒA XÃ HỘI CHỦ NGHĨA VIỆT NAM</w:t>
            </w:r>
          </w:p>
          <w:p w:rsidR="00775A5D" w:rsidRPr="00D80CA3" w:rsidRDefault="00775A5D" w:rsidP="00787582">
            <w:pPr>
              <w:jc w:val="center"/>
              <w:rPr>
                <w:b/>
                <w:color w:val="auto"/>
                <w:sz w:val="26"/>
              </w:rPr>
            </w:pPr>
            <w:r w:rsidRPr="00BA4BC0">
              <w:rPr>
                <w:b/>
                <w:noProof/>
                <w:color w:val="auto"/>
              </w:rPr>
              <w:pict>
                <v:shape id="_x0000_s1028" type="#_x0000_t32" style="position:absolute;left:0;text-align:left;margin-left:63.65pt;margin-top:19.1pt;width:161.3pt;height:0;z-index:251662336" o:connectortype="straight"/>
              </w:pict>
            </w:r>
            <w:r w:rsidRPr="00D80CA3">
              <w:rPr>
                <w:b/>
                <w:color w:val="auto"/>
              </w:rPr>
              <w:t>Độc lập - Tự do - Hạnh phúc</w:t>
            </w:r>
          </w:p>
        </w:tc>
      </w:tr>
      <w:tr w:rsidR="00775A5D" w:rsidRPr="00D80CA3" w:rsidTr="00787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1844" w:type="pct"/>
            <w:shd w:val="clear" w:color="auto" w:fill="auto"/>
          </w:tcPr>
          <w:p w:rsidR="00775A5D" w:rsidRPr="00D80CA3" w:rsidRDefault="00775A5D" w:rsidP="00787582">
            <w:pPr>
              <w:spacing w:before="60"/>
              <w:jc w:val="center"/>
              <w:rPr>
                <w:color w:val="auto"/>
                <w:sz w:val="26"/>
              </w:rPr>
            </w:pPr>
            <w:r w:rsidRPr="00D80CA3">
              <w:rPr>
                <w:color w:val="auto"/>
              </w:rPr>
              <w:t>Số: 16 /BC-BKTXH</w:t>
            </w:r>
          </w:p>
        </w:tc>
        <w:tc>
          <w:tcPr>
            <w:tcW w:w="3156" w:type="pct"/>
            <w:shd w:val="clear" w:color="auto" w:fill="auto"/>
          </w:tcPr>
          <w:p w:rsidR="00775A5D" w:rsidRPr="00D80CA3" w:rsidRDefault="00775A5D" w:rsidP="00787582">
            <w:pPr>
              <w:jc w:val="center"/>
              <w:rPr>
                <w:i/>
                <w:color w:val="auto"/>
              </w:rPr>
            </w:pPr>
            <w:r w:rsidRPr="00D80CA3">
              <w:rPr>
                <w:i/>
                <w:color w:val="auto"/>
              </w:rPr>
              <w:t>Sa Thầy, ngày  12   tháng</w:t>
            </w:r>
            <w:r w:rsidRPr="00D80CA3">
              <w:rPr>
                <w:i/>
                <w:color w:val="auto"/>
              </w:rPr>
              <w:tab/>
              <w:t>8  năm 2016</w:t>
            </w:r>
          </w:p>
        </w:tc>
      </w:tr>
    </w:tbl>
    <w:p w:rsidR="00775A5D" w:rsidRPr="00D80CA3" w:rsidRDefault="00775A5D" w:rsidP="00775A5D">
      <w:pPr>
        <w:jc w:val="center"/>
        <w:rPr>
          <w:b/>
          <w:color w:val="auto"/>
        </w:rPr>
      </w:pPr>
    </w:p>
    <w:p w:rsidR="00775A5D" w:rsidRPr="00D80CA3" w:rsidRDefault="00775A5D" w:rsidP="00775A5D">
      <w:pPr>
        <w:jc w:val="center"/>
        <w:rPr>
          <w:b/>
          <w:color w:val="auto"/>
          <w:lang w:val="vi-VN"/>
        </w:rPr>
      </w:pPr>
      <w:r w:rsidRPr="00D80CA3">
        <w:rPr>
          <w:b/>
          <w:color w:val="auto"/>
          <w:lang w:val="vi-VN"/>
        </w:rPr>
        <w:t>BÁO CÁO THẨM TRA</w:t>
      </w:r>
    </w:p>
    <w:p w:rsidR="00775A5D" w:rsidRPr="00D80CA3" w:rsidRDefault="00775A5D" w:rsidP="00775A5D">
      <w:pPr>
        <w:jc w:val="center"/>
        <w:rPr>
          <w:b/>
          <w:color w:val="auto"/>
        </w:rPr>
      </w:pPr>
      <w:r w:rsidRPr="00D80CA3">
        <w:rPr>
          <w:b/>
          <w:color w:val="auto"/>
          <w:lang w:val="vi-VN"/>
        </w:rPr>
        <w:t>Quyết toán ngân sách địa phương năm 201</w:t>
      </w:r>
      <w:r w:rsidRPr="00D80CA3">
        <w:rPr>
          <w:b/>
          <w:color w:val="auto"/>
        </w:rPr>
        <w:t>5</w:t>
      </w:r>
    </w:p>
    <w:p w:rsidR="00775A5D" w:rsidRPr="00D80CA3" w:rsidRDefault="00775A5D" w:rsidP="00775A5D">
      <w:pPr>
        <w:jc w:val="center"/>
        <w:rPr>
          <w:b/>
          <w:color w:val="auto"/>
          <w:sz w:val="22"/>
          <w:lang w:val="vi-VN"/>
        </w:rPr>
      </w:pPr>
      <w:r>
        <w:rPr>
          <w:b/>
          <w:color w:val="auto"/>
          <w:sz w:val="22"/>
        </w:rPr>
        <w:pict>
          <v:shape id="_x0000_s1026" type="#_x0000_t32" style="position:absolute;left:0;text-align:left;margin-left:0;margin-top:4.7pt;width:38.7pt;height:0;z-index:251660288;mso-position-horizontal:center" o:connectortype="straight"/>
        </w:pict>
      </w:r>
      <w:r w:rsidRPr="00D80CA3">
        <w:rPr>
          <w:b/>
          <w:color w:val="auto"/>
          <w:sz w:val="22"/>
          <w:lang w:val="vi-VN"/>
        </w:rPr>
        <w:t xml:space="preserve"> </w:t>
      </w:r>
    </w:p>
    <w:p w:rsidR="00775A5D" w:rsidRPr="00D80CA3" w:rsidRDefault="00775A5D" w:rsidP="00775A5D">
      <w:pPr>
        <w:spacing w:before="120" w:after="120"/>
        <w:ind w:firstLine="709"/>
        <w:jc w:val="both"/>
        <w:rPr>
          <w:color w:val="auto"/>
          <w:lang w:val="vi-VN"/>
        </w:rPr>
      </w:pPr>
      <w:r w:rsidRPr="00D80CA3">
        <w:rPr>
          <w:b/>
          <w:i/>
          <w:color w:val="auto"/>
          <w:lang w:val="vi-VN"/>
        </w:rPr>
        <w:tab/>
      </w:r>
      <w:r w:rsidRPr="00D80CA3">
        <w:rPr>
          <w:color w:val="auto"/>
          <w:lang w:val="vi-VN"/>
        </w:rPr>
        <w:t xml:space="preserve"> Thực hiện </w:t>
      </w:r>
      <w:r w:rsidRPr="00D80CA3">
        <w:rPr>
          <w:color w:val="auto"/>
        </w:rPr>
        <w:t>ý kiến chỉ đạo</w:t>
      </w:r>
      <w:r w:rsidRPr="00D80CA3">
        <w:rPr>
          <w:color w:val="auto"/>
          <w:lang w:val="vi-VN"/>
        </w:rPr>
        <w:t xml:space="preserve"> của Thường trực Hội đồng nhân dân </w:t>
      </w:r>
      <w:r w:rsidRPr="00D80CA3">
        <w:rPr>
          <w:color w:val="auto"/>
        </w:rPr>
        <w:t>huyện</w:t>
      </w:r>
      <w:r w:rsidRPr="00D80CA3">
        <w:rPr>
          <w:color w:val="auto"/>
          <w:lang w:val="vi-VN"/>
        </w:rPr>
        <w:t>,</w:t>
      </w:r>
      <w:r w:rsidRPr="00D80CA3">
        <w:rPr>
          <w:color w:val="auto"/>
        </w:rPr>
        <w:t xml:space="preserve"> Căn cứ chức năng, nhiệm vụ của Ban Kinh tế - Xã hội. N</w:t>
      </w:r>
      <w:r w:rsidRPr="00D80CA3">
        <w:rPr>
          <w:color w:val="auto"/>
          <w:lang w:val="vi-VN"/>
        </w:rPr>
        <w:t xml:space="preserve">gày </w:t>
      </w:r>
      <w:r w:rsidRPr="00D80CA3">
        <w:rPr>
          <w:color w:val="auto"/>
        </w:rPr>
        <w:t>09/8/2016,</w:t>
      </w:r>
      <w:r w:rsidRPr="00D80CA3">
        <w:rPr>
          <w:color w:val="auto"/>
          <w:lang w:val="vi-VN"/>
        </w:rPr>
        <w:t xml:space="preserve"> Ban Kinh tế</w:t>
      </w:r>
      <w:r w:rsidRPr="00D80CA3">
        <w:rPr>
          <w:color w:val="auto"/>
        </w:rPr>
        <w:t xml:space="preserve"> - Xã hội</w:t>
      </w:r>
      <w:r w:rsidRPr="00D80CA3">
        <w:rPr>
          <w:color w:val="auto"/>
          <w:lang w:val="vi-VN"/>
        </w:rPr>
        <w:t xml:space="preserve"> đã họp phiên toàn thể thẩm tra Tờ trình số </w:t>
      </w:r>
      <w:r w:rsidRPr="00D80CA3">
        <w:rPr>
          <w:color w:val="auto"/>
        </w:rPr>
        <w:t>193</w:t>
      </w:r>
      <w:r w:rsidRPr="00D80CA3">
        <w:rPr>
          <w:color w:val="auto"/>
          <w:lang w:val="vi-VN"/>
        </w:rPr>
        <w:t xml:space="preserve">/TTr-UBND ngày </w:t>
      </w:r>
      <w:r w:rsidRPr="00D80CA3">
        <w:rPr>
          <w:color w:val="auto"/>
        </w:rPr>
        <w:t>29/7/2016</w:t>
      </w:r>
      <w:r w:rsidRPr="00D80CA3">
        <w:rPr>
          <w:color w:val="auto"/>
          <w:lang w:val="vi-VN"/>
        </w:rPr>
        <w:t xml:space="preserve"> của Ủy ban nhân dân </w:t>
      </w:r>
      <w:r w:rsidRPr="00D80CA3">
        <w:rPr>
          <w:color w:val="auto"/>
        </w:rPr>
        <w:t>huyện</w:t>
      </w:r>
      <w:r w:rsidRPr="00D80CA3">
        <w:rPr>
          <w:color w:val="auto"/>
          <w:lang w:val="vi-VN"/>
        </w:rPr>
        <w:t xml:space="preserve"> về việc phê chuẩn quyết toán </w:t>
      </w:r>
      <w:r w:rsidRPr="00D80CA3">
        <w:rPr>
          <w:color w:val="auto"/>
        </w:rPr>
        <w:t>thu, chi ngân sách</w:t>
      </w:r>
      <w:r w:rsidRPr="00D80CA3">
        <w:rPr>
          <w:color w:val="auto"/>
          <w:lang w:val="vi-VN"/>
        </w:rPr>
        <w:t xml:space="preserve"> và phân bổ kết dư ngân sách </w:t>
      </w:r>
      <w:r w:rsidRPr="00D80CA3">
        <w:rPr>
          <w:color w:val="auto"/>
        </w:rPr>
        <w:t>huyện</w:t>
      </w:r>
      <w:r w:rsidRPr="00D80CA3">
        <w:rPr>
          <w:color w:val="auto"/>
          <w:lang w:val="vi-VN"/>
        </w:rPr>
        <w:t xml:space="preserve"> năm 201</w:t>
      </w:r>
      <w:r w:rsidRPr="00D80CA3">
        <w:rPr>
          <w:color w:val="auto"/>
        </w:rPr>
        <w:t>5</w:t>
      </w:r>
      <w:r w:rsidRPr="00D80CA3">
        <w:rPr>
          <w:color w:val="auto"/>
          <w:lang w:val="vi-VN"/>
        </w:rPr>
        <w:t xml:space="preserve">. </w:t>
      </w:r>
    </w:p>
    <w:p w:rsidR="00775A5D" w:rsidRPr="00D80CA3" w:rsidRDefault="00775A5D" w:rsidP="00775A5D">
      <w:pPr>
        <w:spacing w:before="120" w:after="120"/>
        <w:jc w:val="both"/>
        <w:rPr>
          <w:color w:val="auto"/>
          <w:lang w:val="vi-VN"/>
        </w:rPr>
      </w:pPr>
      <w:r w:rsidRPr="00D80CA3">
        <w:rPr>
          <w:color w:val="auto"/>
          <w:lang w:val="vi-VN"/>
        </w:rPr>
        <w:tab/>
        <w:t xml:space="preserve">Căn cứ Nghị quyết của Hội đồng nhân dân </w:t>
      </w:r>
      <w:r w:rsidRPr="00D80CA3">
        <w:rPr>
          <w:color w:val="auto"/>
        </w:rPr>
        <w:t>huyện Sa Thầy</w:t>
      </w:r>
      <w:r w:rsidRPr="00D80CA3">
        <w:rPr>
          <w:color w:val="auto"/>
          <w:lang w:val="vi-VN"/>
        </w:rPr>
        <w:t xml:space="preserve"> khóa </w:t>
      </w:r>
      <w:r w:rsidRPr="00D80CA3">
        <w:rPr>
          <w:color w:val="auto"/>
        </w:rPr>
        <w:t>I</w:t>
      </w:r>
      <w:r w:rsidRPr="00D80CA3">
        <w:rPr>
          <w:color w:val="auto"/>
          <w:lang w:val="vi-VN"/>
        </w:rPr>
        <w:t xml:space="preserve">X, kỳ họp thứ </w:t>
      </w:r>
      <w:r w:rsidRPr="00D80CA3">
        <w:rPr>
          <w:color w:val="auto"/>
        </w:rPr>
        <w:t>9</w:t>
      </w:r>
      <w:r w:rsidRPr="00D80CA3">
        <w:rPr>
          <w:color w:val="auto"/>
          <w:lang w:val="vi-VN"/>
        </w:rPr>
        <w:t xml:space="preserve"> về dự toán thu, chi NSĐP và phương án phân bổ ngân sách năm 201</w:t>
      </w:r>
      <w:r w:rsidRPr="00D80CA3">
        <w:rPr>
          <w:color w:val="auto"/>
        </w:rPr>
        <w:t>5; Nghị quyết tại kỳ họp thứ 10 HĐND huyện khóa IX về điều chỉnh chỉ tiêu kinh tế xã hội năm 2015</w:t>
      </w:r>
      <w:r w:rsidRPr="00D80CA3">
        <w:rPr>
          <w:color w:val="auto"/>
          <w:lang w:val="vi-VN"/>
        </w:rPr>
        <w:t xml:space="preserve">. Trên cơ sở Báo cáo của Ủy ban nhân dân </w:t>
      </w:r>
      <w:r w:rsidRPr="00D80CA3">
        <w:rPr>
          <w:color w:val="auto"/>
        </w:rPr>
        <w:t>huyện</w:t>
      </w:r>
      <w:r w:rsidRPr="00D80CA3">
        <w:rPr>
          <w:color w:val="auto"/>
          <w:lang w:val="vi-VN"/>
        </w:rPr>
        <w:t xml:space="preserve"> về quyết toán ngân sách địa phương. Qua theo dõi, giám sát thực tế và ý kiến của các đại biểu dự họp, Ban Kinh tế </w:t>
      </w:r>
      <w:r w:rsidRPr="00D80CA3">
        <w:rPr>
          <w:color w:val="auto"/>
        </w:rPr>
        <w:t>- Xã hội</w:t>
      </w:r>
      <w:r w:rsidRPr="00D80CA3">
        <w:rPr>
          <w:color w:val="auto"/>
          <w:lang w:val="vi-VN"/>
        </w:rPr>
        <w:t xml:space="preserve"> xin báo cáo Hội đồng nhân dân </w:t>
      </w:r>
      <w:r w:rsidRPr="00D80CA3">
        <w:rPr>
          <w:color w:val="auto"/>
        </w:rPr>
        <w:t>huyện</w:t>
      </w:r>
      <w:r w:rsidRPr="00D80CA3">
        <w:rPr>
          <w:color w:val="auto"/>
          <w:lang w:val="vi-VN"/>
        </w:rPr>
        <w:t xml:space="preserve"> một số nội dung như sau:</w:t>
      </w:r>
    </w:p>
    <w:p w:rsidR="00775A5D" w:rsidRPr="00D80CA3" w:rsidRDefault="00775A5D" w:rsidP="00775A5D">
      <w:pPr>
        <w:numPr>
          <w:ilvl w:val="0"/>
          <w:numId w:val="2"/>
        </w:numPr>
        <w:tabs>
          <w:tab w:val="left" w:pos="993"/>
        </w:tabs>
        <w:spacing w:before="120" w:after="120"/>
        <w:ind w:left="0" w:firstLine="720"/>
        <w:jc w:val="both"/>
        <w:rPr>
          <w:b/>
          <w:bCs/>
          <w:color w:val="auto"/>
          <w:lang w:val="vi-VN"/>
        </w:rPr>
      </w:pPr>
      <w:r w:rsidRPr="00D80CA3">
        <w:rPr>
          <w:b/>
          <w:color w:val="auto"/>
          <w:lang w:val="vi-VN"/>
        </w:rPr>
        <w:t>Về trình tự, thủ tục quyết toán ngân sách địa phương năm 201</w:t>
      </w:r>
      <w:r w:rsidRPr="00D80CA3">
        <w:rPr>
          <w:b/>
          <w:color w:val="auto"/>
        </w:rPr>
        <w:t>5</w:t>
      </w:r>
    </w:p>
    <w:p w:rsidR="00775A5D" w:rsidRPr="00D80CA3" w:rsidRDefault="00775A5D" w:rsidP="00775A5D">
      <w:pPr>
        <w:spacing w:before="120" w:after="120"/>
        <w:jc w:val="both"/>
        <w:rPr>
          <w:color w:val="auto"/>
        </w:rPr>
      </w:pPr>
      <w:r w:rsidRPr="00D80CA3">
        <w:rPr>
          <w:color w:val="auto"/>
          <w:lang w:val="vi-VN"/>
        </w:rPr>
        <w:tab/>
        <w:t>Báo cáo quyết toán NSĐP năm 201</w:t>
      </w:r>
      <w:r w:rsidRPr="00D80CA3">
        <w:rPr>
          <w:color w:val="auto"/>
        </w:rPr>
        <w:t>5</w:t>
      </w:r>
      <w:r w:rsidRPr="00D80CA3">
        <w:rPr>
          <w:color w:val="auto"/>
          <w:lang w:val="vi-VN"/>
        </w:rPr>
        <w:t xml:space="preserve"> của </w:t>
      </w:r>
      <w:r w:rsidRPr="00D80CA3">
        <w:rPr>
          <w:color w:val="auto"/>
        </w:rPr>
        <w:t>huyện</w:t>
      </w:r>
      <w:r w:rsidRPr="00D80CA3">
        <w:rPr>
          <w:color w:val="auto"/>
          <w:lang w:val="vi-VN"/>
        </w:rPr>
        <w:t xml:space="preserve"> được Ủy ban nhân dân </w:t>
      </w:r>
      <w:r w:rsidRPr="00D80CA3">
        <w:rPr>
          <w:color w:val="auto"/>
        </w:rPr>
        <w:t>huyện</w:t>
      </w:r>
      <w:r w:rsidRPr="00D80CA3">
        <w:rPr>
          <w:color w:val="auto"/>
          <w:lang w:val="vi-VN"/>
        </w:rPr>
        <w:t xml:space="preserve"> tổng hợp từ số liệu quyết toán NSĐP năm 201</w:t>
      </w:r>
      <w:r w:rsidRPr="00D80CA3">
        <w:rPr>
          <w:color w:val="auto"/>
        </w:rPr>
        <w:t>5</w:t>
      </w:r>
      <w:r w:rsidRPr="00D80CA3">
        <w:rPr>
          <w:color w:val="auto"/>
          <w:lang w:val="vi-VN"/>
        </w:rPr>
        <w:t xml:space="preserve"> của các đơn vị và các </w:t>
      </w:r>
      <w:r w:rsidRPr="00D80CA3">
        <w:rPr>
          <w:color w:val="auto"/>
        </w:rPr>
        <w:t>xã, thị trấn</w:t>
      </w:r>
      <w:r w:rsidRPr="00D80CA3">
        <w:rPr>
          <w:color w:val="auto"/>
          <w:lang w:val="vi-VN"/>
        </w:rPr>
        <w:t xml:space="preserve"> được Kho bạc Nhà nước đối chiếu, xác nhận</w:t>
      </w:r>
      <w:r w:rsidRPr="00D80CA3">
        <w:rPr>
          <w:color w:val="auto"/>
        </w:rPr>
        <w:t xml:space="preserve">. </w:t>
      </w:r>
    </w:p>
    <w:p w:rsidR="00775A5D" w:rsidRPr="00D80CA3" w:rsidRDefault="00775A5D" w:rsidP="00775A5D">
      <w:pPr>
        <w:spacing w:before="120" w:after="120"/>
        <w:ind w:firstLine="720"/>
        <w:jc w:val="both"/>
        <w:rPr>
          <w:color w:val="auto"/>
        </w:rPr>
      </w:pPr>
      <w:r w:rsidRPr="00D80CA3">
        <w:rPr>
          <w:color w:val="auto"/>
        </w:rPr>
        <w:t>Về mặt nội dung, số liệu quyết toán đã được báo cáo nêu cụ thể, có sự so sánh với dự toán giao tỉnh, HĐND huyện giao đầu năm. Tuy nhiên, về thể thức các biểu số liệu báo cáo chưa đầy đủ theo hướng dẫn tại Thông tư số 59/2003/TT-BTC ngày 23/6/2003 của Bộ Tài chính.</w:t>
      </w:r>
      <w:r w:rsidRPr="00D80CA3">
        <w:rPr>
          <w:color w:val="auto"/>
          <w:lang w:val="vi-VN"/>
        </w:rPr>
        <w:t xml:space="preserve"> </w:t>
      </w:r>
    </w:p>
    <w:p w:rsidR="00775A5D" w:rsidRPr="00D80CA3" w:rsidRDefault="00775A5D" w:rsidP="00775A5D">
      <w:pPr>
        <w:spacing w:before="120" w:after="120"/>
        <w:ind w:firstLine="720"/>
        <w:jc w:val="both"/>
        <w:rPr>
          <w:color w:val="auto"/>
        </w:rPr>
      </w:pPr>
      <w:r w:rsidRPr="00D80CA3">
        <w:rPr>
          <w:color w:val="auto"/>
          <w:lang w:val="vi-VN"/>
        </w:rPr>
        <w:t xml:space="preserve">Ban Kinh tế </w:t>
      </w:r>
      <w:r w:rsidRPr="00D80CA3">
        <w:rPr>
          <w:color w:val="auto"/>
        </w:rPr>
        <w:t>- Xã hội</w:t>
      </w:r>
      <w:r w:rsidRPr="00D80CA3">
        <w:rPr>
          <w:color w:val="auto"/>
          <w:lang w:val="vi-VN"/>
        </w:rPr>
        <w:t xml:space="preserve"> xét thấy, Báo cáo quyết toán </w:t>
      </w:r>
      <w:r w:rsidRPr="00D80CA3">
        <w:rPr>
          <w:color w:val="auto"/>
        </w:rPr>
        <w:t>thu, chi ngân sách huyện năm 2015</w:t>
      </w:r>
      <w:r w:rsidRPr="00D80CA3">
        <w:rPr>
          <w:color w:val="auto"/>
          <w:lang w:val="vi-VN"/>
        </w:rPr>
        <w:t xml:space="preserve"> </w:t>
      </w:r>
      <w:r w:rsidRPr="00D80CA3">
        <w:rPr>
          <w:color w:val="auto"/>
        </w:rPr>
        <w:t>đủ</w:t>
      </w:r>
      <w:r w:rsidRPr="00D80CA3">
        <w:rPr>
          <w:color w:val="auto"/>
          <w:lang w:val="vi-VN"/>
        </w:rPr>
        <w:t xml:space="preserve"> điều kiện trình kỳ họp thứ </w:t>
      </w:r>
      <w:r w:rsidRPr="00D80CA3">
        <w:rPr>
          <w:color w:val="auto"/>
        </w:rPr>
        <w:t>02</w:t>
      </w:r>
      <w:r w:rsidRPr="00D80CA3">
        <w:rPr>
          <w:color w:val="auto"/>
          <w:lang w:val="vi-VN"/>
        </w:rPr>
        <w:t xml:space="preserve">, Hội đồng nhân dân </w:t>
      </w:r>
      <w:r w:rsidRPr="00D80CA3">
        <w:rPr>
          <w:color w:val="auto"/>
        </w:rPr>
        <w:t>huyện</w:t>
      </w:r>
      <w:r w:rsidRPr="00D80CA3">
        <w:rPr>
          <w:color w:val="auto"/>
          <w:lang w:val="vi-VN"/>
        </w:rPr>
        <w:t xml:space="preserve"> khóa X xem xét, phê chuẩn theo quy định của Luật Ngân sách.</w:t>
      </w:r>
      <w:r w:rsidRPr="00D80CA3">
        <w:rPr>
          <w:color w:val="auto"/>
        </w:rPr>
        <w:t xml:space="preserve"> Tuy nhiên, đề nghị cơ quan tham mưu của UBND huyện, UBND huyện cung cấp đầy đủ các bảng số liệu theo đúng quy định để Ban tiếp tục theo dõi, tham mưu cho Thường trực HĐND, HĐND huyện.</w:t>
      </w:r>
    </w:p>
    <w:p w:rsidR="00775A5D" w:rsidRPr="00D80CA3" w:rsidRDefault="00775A5D" w:rsidP="00775A5D">
      <w:pPr>
        <w:numPr>
          <w:ilvl w:val="0"/>
          <w:numId w:val="2"/>
        </w:numPr>
        <w:tabs>
          <w:tab w:val="left" w:pos="1134"/>
        </w:tabs>
        <w:spacing w:before="120" w:after="120"/>
        <w:ind w:left="0" w:firstLine="720"/>
        <w:jc w:val="both"/>
        <w:rPr>
          <w:b/>
          <w:color w:val="auto"/>
          <w:lang w:val="vi-VN"/>
        </w:rPr>
      </w:pPr>
      <w:r w:rsidRPr="00D80CA3">
        <w:rPr>
          <w:b/>
          <w:color w:val="auto"/>
          <w:lang w:val="vi-VN"/>
        </w:rPr>
        <w:t>Tình hình thực hiện dự toán thu, chi ngân sách năm 201</w:t>
      </w:r>
      <w:r w:rsidRPr="00D80CA3">
        <w:rPr>
          <w:b/>
          <w:color w:val="auto"/>
        </w:rPr>
        <w:t>5</w:t>
      </w:r>
    </w:p>
    <w:p w:rsidR="00775A5D" w:rsidRPr="00D80CA3" w:rsidRDefault="00775A5D" w:rsidP="00775A5D">
      <w:pPr>
        <w:numPr>
          <w:ilvl w:val="0"/>
          <w:numId w:val="1"/>
        </w:numPr>
        <w:spacing w:before="120" w:after="120"/>
        <w:jc w:val="both"/>
        <w:rPr>
          <w:b/>
          <w:color w:val="auto"/>
          <w:lang w:val="vi-VN"/>
        </w:rPr>
      </w:pPr>
      <w:r w:rsidRPr="00D80CA3">
        <w:rPr>
          <w:b/>
          <w:color w:val="auto"/>
          <w:lang w:val="vi-VN"/>
        </w:rPr>
        <w:t>Về thu ngân sách địa bàn</w:t>
      </w:r>
    </w:p>
    <w:p w:rsidR="00775A5D" w:rsidRPr="00D80CA3" w:rsidRDefault="00775A5D" w:rsidP="00775A5D">
      <w:pPr>
        <w:spacing w:before="120" w:after="120"/>
        <w:jc w:val="both"/>
        <w:rPr>
          <w:color w:val="auto"/>
          <w:lang w:val="pt-BR"/>
        </w:rPr>
      </w:pPr>
      <w:r w:rsidRPr="00D80CA3">
        <w:rPr>
          <w:color w:val="auto"/>
          <w:lang w:val="pt-BR"/>
        </w:rPr>
        <w:tab/>
        <w:t xml:space="preserve">Năm 2015, Hội đồng nhân dân huyện giao dự toán thu ngân sách trên địa bàn 58.831,1 triệu đồng </w:t>
      </w:r>
      <w:r w:rsidRPr="00D80CA3">
        <w:rPr>
          <w:i/>
          <w:color w:val="auto"/>
          <w:lang w:val="pt-BR"/>
        </w:rPr>
        <w:t>(không bao gồm thu chuyển nguồn, kết dư năm trước, ghi thu, ghi chi quản lý qua ngân sách)</w:t>
      </w:r>
      <w:r w:rsidRPr="00D80CA3">
        <w:rPr>
          <w:color w:val="auto"/>
          <w:lang w:val="pt-BR"/>
        </w:rPr>
        <w:t xml:space="preserve">. Thu ngân sách địa phương 244.351,5 triệu đồng. </w:t>
      </w:r>
    </w:p>
    <w:p w:rsidR="00775A5D" w:rsidRPr="00D80CA3" w:rsidRDefault="00775A5D" w:rsidP="00775A5D">
      <w:pPr>
        <w:spacing w:before="120" w:after="120"/>
        <w:jc w:val="both"/>
        <w:rPr>
          <w:b/>
          <w:color w:val="auto"/>
          <w:lang w:val="pt-BR"/>
        </w:rPr>
      </w:pPr>
      <w:r w:rsidRPr="00D80CA3">
        <w:rPr>
          <w:b/>
          <w:color w:val="auto"/>
          <w:lang w:val="pt-BR"/>
        </w:rPr>
        <w:tab/>
        <w:t>* Theo báo cáo của Ủy ban nhân dân huyện cho thấy:</w:t>
      </w:r>
    </w:p>
    <w:p w:rsidR="00775A5D" w:rsidRPr="00D80CA3" w:rsidRDefault="00775A5D" w:rsidP="00775A5D">
      <w:pPr>
        <w:spacing w:before="120" w:after="120"/>
        <w:jc w:val="both"/>
        <w:rPr>
          <w:color w:val="auto"/>
          <w:lang w:val="pt-BR"/>
        </w:rPr>
      </w:pPr>
      <w:r w:rsidRPr="00D80CA3">
        <w:rPr>
          <w:color w:val="auto"/>
          <w:lang w:val="pt-BR"/>
        </w:rPr>
        <w:lastRenderedPageBreak/>
        <w:tab/>
        <w:t>Quyết toán thu ngân sách nhà nước năm 2015 trên địa bàn đạt 87.826,6 triệu  đồng. Sau khi loại trừ các khoản thu quản lý qua ngân sách; các khoản ghi thu, ghi chi, đạt 149% dự toán Hội đồng nhân dân huyện giao, tăng 10% so với năm 2014.</w:t>
      </w:r>
    </w:p>
    <w:p w:rsidR="00775A5D" w:rsidRPr="00D80CA3" w:rsidRDefault="00775A5D" w:rsidP="00775A5D">
      <w:pPr>
        <w:spacing w:before="120" w:after="120"/>
        <w:jc w:val="both"/>
        <w:rPr>
          <w:color w:val="auto"/>
          <w:lang w:val="pt-BR"/>
        </w:rPr>
      </w:pPr>
      <w:r w:rsidRPr="00D80CA3">
        <w:rPr>
          <w:color w:val="auto"/>
          <w:lang w:val="pt-BR"/>
        </w:rPr>
        <w:tab/>
        <w:t>Quyết toán thu ngân NSĐP năm 2015 đạt 339.395,8 triệu đồng, đạt 138,9% dự toán Hội đồng nhân dân huyện giao, bằng 90,3% so với năm 2014.</w:t>
      </w:r>
    </w:p>
    <w:p w:rsidR="00775A5D" w:rsidRPr="00D80CA3" w:rsidRDefault="00775A5D" w:rsidP="00775A5D">
      <w:pPr>
        <w:spacing w:before="120" w:after="120"/>
        <w:jc w:val="both"/>
        <w:rPr>
          <w:color w:val="auto"/>
          <w:lang w:val="pt-BR"/>
        </w:rPr>
      </w:pPr>
      <w:r w:rsidRPr="00D80CA3">
        <w:rPr>
          <w:color w:val="auto"/>
          <w:lang w:val="pt-BR"/>
        </w:rPr>
        <w:tab/>
        <w:t>Ban Kinh tế - Xã hội cho rằng, năm 2015, UBND huyện, các cấp, các ngành đã thực hiện tốt công tác quản lý thu ngân sách nhà nước trên địa bàn, công tác thanh tra, kiểm tra chống thất thu, quản lý, đôn đốc thu hồi nợ đọng thuế được tích cực triển khai.</w:t>
      </w:r>
    </w:p>
    <w:p w:rsidR="00775A5D" w:rsidRPr="00D80CA3" w:rsidRDefault="00775A5D" w:rsidP="00775A5D">
      <w:pPr>
        <w:spacing w:before="120" w:after="120"/>
        <w:jc w:val="both"/>
        <w:rPr>
          <w:color w:val="auto"/>
          <w:lang w:val="pt-BR"/>
        </w:rPr>
      </w:pPr>
      <w:r w:rsidRPr="00D80CA3">
        <w:rPr>
          <w:color w:val="auto"/>
          <w:lang w:val="pt-BR"/>
        </w:rPr>
        <w:tab/>
        <w:t xml:space="preserve">Mặc dù thu ngân sách nhà nước trên địa bàn trong cân đối tăng so với dự toán Hội đồng nhân dân huyện giao, trong đó tập trung chủ yếu một số khoản thu từ doanh nghiệp nhà nước Trung ương (đạt 426%), Thu tiền sử dụng đất (đạt 256%), thu từ thành phần kinh tế ngoài quốc doanh (đạt 147%)... Một số khoản thu khác đạt thấp so dự toán: Thu từ doanh nghiệp nhà nước địa phương </w:t>
      </w:r>
      <w:r w:rsidRPr="00D80CA3">
        <w:rPr>
          <w:i/>
          <w:color w:val="auto"/>
          <w:lang w:val="pt-BR"/>
        </w:rPr>
        <w:t>(đạt 30%)</w:t>
      </w:r>
      <w:r w:rsidRPr="00D80CA3">
        <w:rPr>
          <w:color w:val="auto"/>
          <w:lang w:val="pt-BR"/>
        </w:rPr>
        <w:t xml:space="preserve">, phí trước bạ (đạt 83%), thuế sử dụng đất nông nghiệp (đạt 26%), thu tại xã (đạt 22%)... Nguyên nhân là do giá các mặt hàng nông sản cũng như lượng tiêu thụ giảm; nhiều doanh nghiệp trên địa bàn làm ăn thua lỗ, gặp nhiều khó khăn... </w:t>
      </w:r>
    </w:p>
    <w:p w:rsidR="00775A5D" w:rsidRPr="00D80CA3" w:rsidRDefault="00775A5D" w:rsidP="00775A5D">
      <w:pPr>
        <w:spacing w:before="120" w:after="120"/>
        <w:jc w:val="both"/>
        <w:rPr>
          <w:color w:val="auto"/>
          <w:lang w:val="pt-BR"/>
        </w:rPr>
      </w:pPr>
      <w:r w:rsidRPr="00D80CA3">
        <w:rPr>
          <w:color w:val="auto"/>
          <w:lang w:val="pt-BR"/>
        </w:rPr>
        <w:tab/>
        <w:t>Năm 2015, trong điều kiện tình hình kinh tế vẫn chưa được cải thiện, hoạt động sản xuất kinh doanh của các doanh nghiệp gặp nhiều khó khăn, nợ đọng thuế, nhất là khối doanh nghiệp ngoài quốc doanh có chiều hướng gia tăng so với cuối năm 2014</w:t>
      </w:r>
      <w:r w:rsidRPr="004C3169">
        <w:rPr>
          <w:color w:val="auto"/>
          <w:vertAlign w:val="superscript"/>
          <w:lang w:val="pt-BR"/>
        </w:rPr>
        <w:t>(</w:t>
      </w:r>
      <w:r w:rsidRPr="004C3169">
        <w:rPr>
          <w:rStyle w:val="FootnoteReference"/>
          <w:color w:val="auto"/>
          <w:lang w:val="pt-BR"/>
        </w:rPr>
        <w:footnoteReference w:id="2"/>
      </w:r>
      <w:r w:rsidRPr="004C3169">
        <w:rPr>
          <w:color w:val="auto"/>
          <w:vertAlign w:val="superscript"/>
          <w:lang w:val="pt-BR"/>
        </w:rPr>
        <w:t>)</w:t>
      </w:r>
      <w:r w:rsidRPr="00D80CA3">
        <w:rPr>
          <w:color w:val="auto"/>
          <w:lang w:val="pt-BR"/>
        </w:rPr>
        <w:t>. Mặc dù Ủy ban nhân dân huyện chỉ đạo ngành thuế triển khai tích cực các biện pháp thu hồi nợ đọng thuế, tuy nhiên kết quả vẫn đạt thấp</w:t>
      </w:r>
      <w:r w:rsidRPr="004C3169">
        <w:rPr>
          <w:color w:val="auto"/>
          <w:vertAlign w:val="superscript"/>
          <w:lang w:val="pt-BR"/>
        </w:rPr>
        <w:t>(</w:t>
      </w:r>
      <w:r w:rsidRPr="004C3169">
        <w:rPr>
          <w:rStyle w:val="FootnoteReference"/>
          <w:color w:val="auto"/>
          <w:lang w:val="pt-BR"/>
        </w:rPr>
        <w:footnoteReference w:id="3"/>
      </w:r>
      <w:r w:rsidRPr="004C3169">
        <w:rPr>
          <w:color w:val="auto"/>
          <w:vertAlign w:val="superscript"/>
          <w:lang w:val="pt-BR"/>
        </w:rPr>
        <w:t>)</w:t>
      </w:r>
      <w:r w:rsidRPr="00D80CA3">
        <w:rPr>
          <w:color w:val="auto"/>
          <w:lang w:val="pt-BR"/>
        </w:rPr>
        <w:t>.</w:t>
      </w:r>
    </w:p>
    <w:p w:rsidR="00775A5D" w:rsidRPr="00D80CA3" w:rsidRDefault="00775A5D" w:rsidP="00775A5D">
      <w:pPr>
        <w:numPr>
          <w:ilvl w:val="0"/>
          <w:numId w:val="1"/>
        </w:numPr>
        <w:spacing w:before="120" w:after="120"/>
        <w:jc w:val="both"/>
        <w:rPr>
          <w:b/>
          <w:color w:val="auto"/>
          <w:lang w:val="vi-VN"/>
        </w:rPr>
      </w:pPr>
      <w:r w:rsidRPr="00D80CA3">
        <w:rPr>
          <w:b/>
          <w:color w:val="auto"/>
          <w:lang w:val="vi-VN"/>
        </w:rPr>
        <w:t>Về chi ngân sách địa phương.</w:t>
      </w:r>
    </w:p>
    <w:p w:rsidR="00775A5D" w:rsidRPr="00D80CA3" w:rsidRDefault="00775A5D" w:rsidP="00775A5D">
      <w:pPr>
        <w:spacing w:before="120" w:after="120"/>
        <w:ind w:firstLine="720"/>
        <w:jc w:val="both"/>
        <w:rPr>
          <w:color w:val="auto"/>
          <w:lang w:val="vi-VN"/>
        </w:rPr>
      </w:pPr>
      <w:r w:rsidRPr="00D80CA3">
        <w:rPr>
          <w:color w:val="auto"/>
          <w:lang w:val="vi-VN"/>
        </w:rPr>
        <w:t>Năm 201</w:t>
      </w:r>
      <w:r w:rsidRPr="00D80CA3">
        <w:rPr>
          <w:color w:val="auto"/>
        </w:rPr>
        <w:t>5</w:t>
      </w:r>
      <w:r w:rsidRPr="00D80CA3">
        <w:rPr>
          <w:color w:val="auto"/>
          <w:lang w:val="vi-VN"/>
        </w:rPr>
        <w:t xml:space="preserve">, Hội đồng nhân dân </w:t>
      </w:r>
      <w:r w:rsidRPr="00D80CA3">
        <w:rPr>
          <w:color w:val="auto"/>
        </w:rPr>
        <w:t>huyện</w:t>
      </w:r>
      <w:r w:rsidRPr="00D80CA3">
        <w:rPr>
          <w:color w:val="auto"/>
          <w:lang w:val="vi-VN"/>
        </w:rPr>
        <w:t xml:space="preserve"> giao dự toán chi NSĐP </w:t>
      </w:r>
      <w:r w:rsidRPr="00D80CA3">
        <w:rPr>
          <w:color w:val="auto"/>
        </w:rPr>
        <w:t>244.351,5</w:t>
      </w:r>
      <w:r w:rsidRPr="00D80CA3">
        <w:rPr>
          <w:color w:val="auto"/>
          <w:lang w:val="vi-VN"/>
        </w:rPr>
        <w:t xml:space="preserve">triệu đồng.  </w:t>
      </w:r>
    </w:p>
    <w:p w:rsidR="00775A5D" w:rsidRPr="00D80CA3" w:rsidRDefault="00775A5D" w:rsidP="00775A5D">
      <w:pPr>
        <w:spacing w:before="120" w:after="120"/>
        <w:ind w:firstLine="720"/>
        <w:jc w:val="both"/>
        <w:rPr>
          <w:color w:val="auto"/>
          <w:lang w:val="vi-VN"/>
        </w:rPr>
      </w:pPr>
      <w:r w:rsidRPr="00D80CA3">
        <w:rPr>
          <w:color w:val="auto"/>
          <w:lang w:val="vi-VN"/>
        </w:rPr>
        <w:t>Quyết toán chi NSĐP năm 201</w:t>
      </w:r>
      <w:r w:rsidRPr="00D80CA3">
        <w:rPr>
          <w:color w:val="auto"/>
        </w:rPr>
        <w:t>5</w:t>
      </w:r>
      <w:r w:rsidRPr="00D80CA3">
        <w:rPr>
          <w:color w:val="auto"/>
          <w:lang w:val="vi-VN"/>
        </w:rPr>
        <w:t xml:space="preserve"> là </w:t>
      </w:r>
      <w:r w:rsidRPr="00D80CA3">
        <w:rPr>
          <w:color w:val="auto"/>
        </w:rPr>
        <w:t>326.258,6</w:t>
      </w:r>
      <w:r w:rsidRPr="00D80CA3">
        <w:rPr>
          <w:color w:val="auto"/>
          <w:lang w:val="vi-VN"/>
        </w:rPr>
        <w:t xml:space="preserve"> triệu đồng, đạt </w:t>
      </w:r>
      <w:r w:rsidRPr="00D80CA3">
        <w:rPr>
          <w:color w:val="auto"/>
        </w:rPr>
        <w:t>134</w:t>
      </w:r>
      <w:r w:rsidRPr="00D80CA3">
        <w:rPr>
          <w:color w:val="auto"/>
          <w:lang w:val="vi-VN"/>
        </w:rPr>
        <w:t>% so với dự toán</w:t>
      </w:r>
      <w:r w:rsidRPr="00D80CA3">
        <w:rPr>
          <w:color w:val="auto"/>
        </w:rPr>
        <w:t xml:space="preserve"> và bằng 88% so với quyết toán năm 2014</w:t>
      </w:r>
      <w:r w:rsidRPr="00D80CA3">
        <w:rPr>
          <w:color w:val="auto"/>
          <w:lang w:val="vi-VN"/>
        </w:rPr>
        <w:t xml:space="preserve">. </w:t>
      </w:r>
      <w:r w:rsidRPr="00D80CA3">
        <w:rPr>
          <w:color w:val="auto"/>
        </w:rPr>
        <w:t>Vượt chi so</w:t>
      </w:r>
      <w:r w:rsidRPr="00D80CA3">
        <w:rPr>
          <w:color w:val="auto"/>
          <w:lang w:val="vi-VN"/>
        </w:rPr>
        <w:t xml:space="preserve"> với số </w:t>
      </w:r>
      <w:r w:rsidRPr="00D80CA3">
        <w:rPr>
          <w:color w:val="auto"/>
        </w:rPr>
        <w:t xml:space="preserve">dự toán </w:t>
      </w:r>
      <w:r w:rsidRPr="00D80CA3">
        <w:rPr>
          <w:color w:val="auto"/>
          <w:lang w:val="vi-VN"/>
        </w:rPr>
        <w:t xml:space="preserve">Hội đồng nhân dân </w:t>
      </w:r>
      <w:r w:rsidRPr="00D80CA3">
        <w:rPr>
          <w:color w:val="auto"/>
        </w:rPr>
        <w:t>huyện</w:t>
      </w:r>
      <w:r w:rsidRPr="00D80CA3">
        <w:rPr>
          <w:color w:val="auto"/>
          <w:lang w:val="vi-VN"/>
        </w:rPr>
        <w:t xml:space="preserve"> giao đầu năm </w:t>
      </w:r>
      <w:r w:rsidRPr="00D80CA3">
        <w:rPr>
          <w:color w:val="auto"/>
        </w:rPr>
        <w:t>81.907,1</w:t>
      </w:r>
      <w:r w:rsidRPr="00D80CA3">
        <w:rPr>
          <w:color w:val="auto"/>
          <w:lang w:val="vi-VN"/>
        </w:rPr>
        <w:t xml:space="preserve"> triệu đồng</w:t>
      </w:r>
      <w:r w:rsidRPr="004C3169">
        <w:rPr>
          <w:color w:val="auto"/>
          <w:vertAlign w:val="superscript"/>
          <w:lang w:val="pt-BR"/>
        </w:rPr>
        <w:t>(</w:t>
      </w:r>
      <w:r w:rsidRPr="004C3169">
        <w:rPr>
          <w:rStyle w:val="FootnoteReference"/>
          <w:color w:val="auto"/>
          <w:lang w:val="pt-BR"/>
        </w:rPr>
        <w:footnoteReference w:id="4"/>
      </w:r>
      <w:r w:rsidRPr="004C3169">
        <w:rPr>
          <w:color w:val="auto"/>
          <w:vertAlign w:val="superscript"/>
          <w:lang w:val="pt-BR"/>
        </w:rPr>
        <w:t>)</w:t>
      </w:r>
      <w:r w:rsidRPr="00D80CA3">
        <w:rPr>
          <w:i/>
          <w:color w:val="auto"/>
          <w:lang w:val="vi-VN"/>
        </w:rPr>
        <w:t>.</w:t>
      </w:r>
    </w:p>
    <w:p w:rsidR="00775A5D" w:rsidRPr="00D80CA3" w:rsidRDefault="00775A5D" w:rsidP="00775A5D">
      <w:pPr>
        <w:spacing w:before="120" w:after="120"/>
        <w:ind w:firstLine="720"/>
        <w:jc w:val="both"/>
        <w:rPr>
          <w:color w:val="auto"/>
        </w:rPr>
      </w:pPr>
      <w:r w:rsidRPr="00D80CA3">
        <w:rPr>
          <w:color w:val="auto"/>
          <w:lang w:val="vi-VN"/>
        </w:rPr>
        <w:t xml:space="preserve">Ban Kinh tế </w:t>
      </w:r>
      <w:r w:rsidRPr="00D80CA3">
        <w:rPr>
          <w:color w:val="auto"/>
        </w:rPr>
        <w:t>- Xã hội</w:t>
      </w:r>
      <w:r w:rsidRPr="00D80CA3">
        <w:rPr>
          <w:color w:val="auto"/>
          <w:lang w:val="vi-VN"/>
        </w:rPr>
        <w:t xml:space="preserve"> nhận thấy, năm 201</w:t>
      </w:r>
      <w:r w:rsidRPr="00D80CA3">
        <w:rPr>
          <w:color w:val="auto"/>
        </w:rPr>
        <w:t>5</w:t>
      </w:r>
      <w:r w:rsidRPr="00D80CA3">
        <w:rPr>
          <w:color w:val="auto"/>
          <w:lang w:val="vi-VN"/>
        </w:rPr>
        <w:t xml:space="preserve"> Hội đồng nhân dân </w:t>
      </w:r>
      <w:r w:rsidRPr="00D80CA3">
        <w:rPr>
          <w:color w:val="auto"/>
        </w:rPr>
        <w:t>huyện</w:t>
      </w:r>
      <w:r w:rsidRPr="00D80CA3">
        <w:rPr>
          <w:color w:val="auto"/>
          <w:lang w:val="vi-VN"/>
        </w:rPr>
        <w:t xml:space="preserve"> đã kịp thời giao dự toán ngay từ đầu năm, kể cả các nguồn Trung ương bổ sung có mục tiêu, đảm bảo cho các đơn vị, địa phương chủ động trong việc thực hiện các nhiệm vụ phát triển kinh tế - xã hội, quốc phòng an ninh, triển khai các dự án, chương trình đầu tư. Các ngành, các cấp đã tích cực tổ chức thực hiện đúng theo quy định</w:t>
      </w:r>
      <w:r w:rsidRPr="00D80CA3">
        <w:rPr>
          <w:color w:val="auto"/>
        </w:rPr>
        <w:t>. Mặt khác, trong năm huyện được UBND tỉnh bổ sung các chương trình mục tiêu phát sinh với số tiền 27.916,94 triệu đồng nên các nhiệm vụ chi đều vượt dự toán giao đầu năm.</w:t>
      </w:r>
    </w:p>
    <w:p w:rsidR="00775A5D" w:rsidRPr="00D80CA3" w:rsidRDefault="00775A5D" w:rsidP="00775A5D">
      <w:pPr>
        <w:spacing w:before="120" w:after="120"/>
        <w:jc w:val="both"/>
        <w:rPr>
          <w:b/>
          <w:color w:val="auto"/>
          <w:lang w:val="vi-VN"/>
        </w:rPr>
      </w:pPr>
      <w:r w:rsidRPr="00D80CA3">
        <w:rPr>
          <w:b/>
          <w:color w:val="auto"/>
          <w:lang w:val="vi-VN"/>
        </w:rPr>
        <w:lastRenderedPageBreak/>
        <w:tab/>
        <w:t>* Bên cạnh những kết quả đạt được còn nổi lên một số tồn tại trong công tác phân bổ, quản lý, điều hành ngân sách 201</w:t>
      </w:r>
      <w:r w:rsidRPr="00D80CA3">
        <w:rPr>
          <w:b/>
          <w:color w:val="auto"/>
        </w:rPr>
        <w:t>5</w:t>
      </w:r>
      <w:r w:rsidRPr="00D80CA3">
        <w:rPr>
          <w:b/>
          <w:color w:val="auto"/>
          <w:lang w:val="vi-VN"/>
        </w:rPr>
        <w:t>, cụ thể:</w:t>
      </w:r>
    </w:p>
    <w:p w:rsidR="00775A5D" w:rsidRPr="00D80CA3" w:rsidRDefault="00775A5D" w:rsidP="00775A5D">
      <w:pPr>
        <w:spacing w:before="120" w:after="120"/>
        <w:jc w:val="both"/>
        <w:rPr>
          <w:color w:val="auto"/>
        </w:rPr>
      </w:pPr>
      <w:r w:rsidRPr="00D80CA3">
        <w:rPr>
          <w:color w:val="auto"/>
          <w:lang w:val="vi-VN"/>
        </w:rPr>
        <w:tab/>
        <w:t>- Năm 201</w:t>
      </w:r>
      <w:r w:rsidRPr="00D80CA3">
        <w:rPr>
          <w:color w:val="auto"/>
        </w:rPr>
        <w:t>5</w:t>
      </w:r>
      <w:r w:rsidRPr="00D80CA3">
        <w:rPr>
          <w:color w:val="auto"/>
          <w:lang w:val="vi-VN"/>
        </w:rPr>
        <w:t>, tình hình phát sinh nợ đọng xây dựng cơ bản vẫn cao</w:t>
      </w:r>
      <w:r w:rsidRPr="004C3169">
        <w:rPr>
          <w:color w:val="auto"/>
          <w:vertAlign w:val="superscript"/>
          <w:lang w:val="pt-BR"/>
        </w:rPr>
        <w:t>(</w:t>
      </w:r>
      <w:r w:rsidRPr="004C3169">
        <w:rPr>
          <w:rStyle w:val="FootnoteReference"/>
          <w:color w:val="auto"/>
          <w:lang w:val="pt-BR"/>
        </w:rPr>
        <w:footnoteReference w:id="5"/>
      </w:r>
      <w:r w:rsidRPr="004C3169">
        <w:rPr>
          <w:color w:val="auto"/>
          <w:vertAlign w:val="superscript"/>
          <w:lang w:val="pt-BR"/>
        </w:rPr>
        <w:t>)</w:t>
      </w:r>
      <w:r w:rsidRPr="00D80CA3">
        <w:rPr>
          <w:color w:val="auto"/>
          <w:lang w:val="vi-VN"/>
        </w:rPr>
        <w:t>, nhất là số nợ đọng xây dựng cơ bản của ngân sách cấp huyện. Trong năm 201</w:t>
      </w:r>
      <w:r w:rsidRPr="00D80CA3">
        <w:rPr>
          <w:color w:val="auto"/>
        </w:rPr>
        <w:t>5</w:t>
      </w:r>
      <w:r w:rsidRPr="00D80CA3">
        <w:rPr>
          <w:color w:val="auto"/>
          <w:lang w:val="vi-VN"/>
        </w:rPr>
        <w:t>, ngân sách cấp tỉnh, ngân sách cấp huyện bố trí để thanh toán nợ đọng xây dựng cơ bản</w:t>
      </w:r>
      <w:r w:rsidRPr="00D80CA3">
        <w:rPr>
          <w:color w:val="auto"/>
        </w:rPr>
        <w:t xml:space="preserve"> nhưng đ</w:t>
      </w:r>
      <w:r w:rsidRPr="00D80CA3">
        <w:rPr>
          <w:color w:val="auto"/>
          <w:lang w:val="vi-VN"/>
        </w:rPr>
        <w:t xml:space="preserve">ây là vấn đề mà Ủy ban nhân dân </w:t>
      </w:r>
      <w:r w:rsidRPr="00D80CA3">
        <w:rPr>
          <w:color w:val="auto"/>
        </w:rPr>
        <w:t>huyện</w:t>
      </w:r>
      <w:r w:rsidRPr="00D80CA3">
        <w:rPr>
          <w:color w:val="auto"/>
          <w:lang w:val="vi-VN"/>
        </w:rPr>
        <w:t xml:space="preserve"> cần quan tâm</w:t>
      </w:r>
      <w:r w:rsidRPr="00D80CA3">
        <w:rPr>
          <w:color w:val="auto"/>
        </w:rPr>
        <w:t xml:space="preserve"> </w:t>
      </w:r>
      <w:r w:rsidRPr="00D80CA3">
        <w:rPr>
          <w:color w:val="auto"/>
          <w:lang w:val="vi-VN"/>
        </w:rPr>
        <w:t>không để phát sinh nợ đọng xây dựng cơ bản, đồng thời phải cân đối, bố trí thanh toán nợ đọng theo chỉ đạo của Thủ tướng Chính phủ và hướng dẫn của Bộ, ngành Trung ương.</w:t>
      </w:r>
    </w:p>
    <w:p w:rsidR="00775A5D" w:rsidRPr="00D80CA3" w:rsidRDefault="00775A5D" w:rsidP="00775A5D">
      <w:pPr>
        <w:spacing w:before="120" w:after="120"/>
        <w:jc w:val="both"/>
        <w:rPr>
          <w:color w:val="auto"/>
        </w:rPr>
      </w:pPr>
      <w:r w:rsidRPr="00D80CA3">
        <w:rPr>
          <w:color w:val="auto"/>
        </w:rPr>
        <w:tab/>
        <w:t xml:space="preserve">- Nhiều khoản thu chưa đạt so với chỉ tiêu giao như: </w:t>
      </w:r>
      <w:r w:rsidRPr="00D80CA3">
        <w:rPr>
          <w:color w:val="auto"/>
          <w:lang w:val="pt-BR"/>
        </w:rPr>
        <w:t xml:space="preserve">Thu từ doanh nghiệp nhà nước địa phương </w:t>
      </w:r>
      <w:r w:rsidRPr="00D80CA3">
        <w:rPr>
          <w:i/>
          <w:color w:val="auto"/>
          <w:lang w:val="pt-BR"/>
        </w:rPr>
        <w:t>(đạt 30%)</w:t>
      </w:r>
      <w:r w:rsidRPr="00D80CA3">
        <w:rPr>
          <w:color w:val="auto"/>
          <w:lang w:val="pt-BR"/>
        </w:rPr>
        <w:t>, phí trước bạ (đạt 83%), thuế sử dụng đất nông nghiệp (đạt 26%), thu tại xã (đạt 22%), đề nghị UBND huyện chỉ đạo các ngành, địa phương tích cực thực hiện các biện pháp thu để hoàn thành các nhiệm vụ thu, mặt khác tăng cường rà soát các nguồn thu khác để tăng thu ngân sách trong thời gian tới.</w:t>
      </w:r>
    </w:p>
    <w:p w:rsidR="00775A5D" w:rsidRPr="00D80CA3" w:rsidRDefault="00775A5D" w:rsidP="00775A5D">
      <w:pPr>
        <w:spacing w:before="120" w:after="120"/>
        <w:jc w:val="both"/>
        <w:rPr>
          <w:color w:val="auto"/>
          <w:lang w:val="vi-VN"/>
        </w:rPr>
      </w:pPr>
      <w:r w:rsidRPr="00D80CA3">
        <w:rPr>
          <w:color w:val="auto"/>
          <w:lang w:val="vi-VN"/>
        </w:rPr>
        <w:tab/>
        <w:t xml:space="preserve">- Ủy ban nhân dân </w:t>
      </w:r>
      <w:r w:rsidRPr="00D80CA3">
        <w:rPr>
          <w:color w:val="auto"/>
        </w:rPr>
        <w:t>huyện</w:t>
      </w:r>
      <w:r w:rsidRPr="00D80CA3">
        <w:rPr>
          <w:color w:val="auto"/>
          <w:lang w:val="vi-VN"/>
        </w:rPr>
        <w:t xml:space="preserve"> đã tích cực chỉ đạo triển khai nhiều biện pháp xử lý, thu hồi nợ đọng thuế, tuy nhiên do hoạt động sản xuất kinh doanh của các doanh nghiệp gặp nhiều khó khăn dẫn đến số nợ đọng thuế tăng, việc xử lý, thu hồi nợ đọng kết quả đạt được chưa cao. Nợ thuế đến 31/12/201</w:t>
      </w:r>
      <w:r w:rsidRPr="00D80CA3">
        <w:rPr>
          <w:color w:val="auto"/>
        </w:rPr>
        <w:t>5</w:t>
      </w:r>
      <w:r w:rsidRPr="00D80CA3">
        <w:rPr>
          <w:color w:val="auto"/>
          <w:lang w:val="vi-VN"/>
        </w:rPr>
        <w:t xml:space="preserve"> là: </w:t>
      </w:r>
      <w:r w:rsidRPr="00D80CA3">
        <w:rPr>
          <w:color w:val="auto"/>
        </w:rPr>
        <w:t>5.884</w:t>
      </w:r>
      <w:r w:rsidRPr="00D80CA3">
        <w:rPr>
          <w:color w:val="auto"/>
          <w:lang w:val="vi-VN"/>
        </w:rPr>
        <w:t xml:space="preserve"> triệu đồng, chiếm </w:t>
      </w:r>
      <w:r w:rsidRPr="00D80CA3">
        <w:rPr>
          <w:color w:val="auto"/>
        </w:rPr>
        <w:t>6,7</w:t>
      </w:r>
      <w:r w:rsidRPr="00D80CA3">
        <w:rPr>
          <w:color w:val="auto"/>
          <w:lang w:val="vi-VN"/>
        </w:rPr>
        <w:t>% tổng thu ngân sách địa bàn.</w:t>
      </w:r>
    </w:p>
    <w:p w:rsidR="00775A5D" w:rsidRPr="00D80CA3" w:rsidRDefault="00775A5D" w:rsidP="00775A5D">
      <w:pPr>
        <w:spacing w:before="120" w:after="120"/>
        <w:jc w:val="both"/>
        <w:rPr>
          <w:color w:val="auto"/>
        </w:rPr>
      </w:pPr>
      <w:r w:rsidRPr="00D80CA3">
        <w:rPr>
          <w:color w:val="auto"/>
          <w:lang w:val="vi-VN"/>
        </w:rPr>
        <w:tab/>
        <w:t xml:space="preserve">- Công tác quyết toán dự án hoàn thành thường xuyên được Ủy ban nhân dân </w:t>
      </w:r>
      <w:r w:rsidRPr="00D80CA3">
        <w:rPr>
          <w:color w:val="auto"/>
        </w:rPr>
        <w:t>huyện</w:t>
      </w:r>
      <w:r w:rsidRPr="00D80CA3">
        <w:rPr>
          <w:color w:val="auto"/>
          <w:lang w:val="vi-VN"/>
        </w:rPr>
        <w:t xml:space="preserve"> chỉ đạo đôn đốc, kiểm tra các đơn vị chủ đầu tư đẩy nhanh tiến độ quyết toán công trình hoàn thành. Tuy nhiên, số lượng dự án tồn đọng chậm quyết toán </w:t>
      </w:r>
      <w:r w:rsidRPr="00D80CA3">
        <w:rPr>
          <w:color w:val="auto"/>
        </w:rPr>
        <w:t>vẫn còn.</w:t>
      </w:r>
    </w:p>
    <w:p w:rsidR="00775A5D" w:rsidRPr="00D80CA3" w:rsidRDefault="00775A5D" w:rsidP="00775A5D">
      <w:pPr>
        <w:spacing w:before="120" w:after="120"/>
        <w:jc w:val="both"/>
        <w:rPr>
          <w:color w:val="auto"/>
          <w:lang w:val="vi-VN"/>
        </w:rPr>
      </w:pPr>
      <w:r w:rsidRPr="00D80CA3">
        <w:rPr>
          <w:color w:val="auto"/>
          <w:lang w:val="vi-VN"/>
        </w:rPr>
        <w:tab/>
        <w:t xml:space="preserve">- Trong những năm qua, Ủy ban nhân dân </w:t>
      </w:r>
      <w:r w:rsidRPr="00D80CA3">
        <w:rPr>
          <w:color w:val="auto"/>
        </w:rPr>
        <w:t>huyện</w:t>
      </w:r>
      <w:r w:rsidRPr="00D80CA3">
        <w:rPr>
          <w:color w:val="auto"/>
          <w:lang w:val="vi-VN"/>
        </w:rPr>
        <w:t xml:space="preserve"> đã tích cực chỉ đạo đẩy nhanh tiến độ thực hiện, giải ngân các dự án, công trình, nhất là các dự án, chương trình thuộc các chương trình mục tiêu quốc gia, vốn trái phiếu Chính phủ... Tuy nhiên, tiến độ triển khai vẫn rất chậm, trách nhiệm thuộc về các chủ đầu tư thiếu quyết liệt, chế tài xử lý chưa hiệu quả dẫn đến tỉ lệ giải ngân luôn đạt thấp. Trong thời gian tới đề nghị Ủy ban nhân dân </w:t>
      </w:r>
      <w:r w:rsidRPr="00D80CA3">
        <w:rPr>
          <w:color w:val="auto"/>
        </w:rPr>
        <w:t>huyện</w:t>
      </w:r>
      <w:r w:rsidRPr="00D80CA3">
        <w:rPr>
          <w:color w:val="auto"/>
          <w:lang w:val="vi-VN"/>
        </w:rPr>
        <w:t xml:space="preserve"> tiếp tục chỉ đạo, tăng cường công tác quản lý đầu tư xây dựng cơ bản, xử lý nghiêm các chủ đầu tư có tiến độ giải ngân chậm, không tuân thủ theo các quy định của pháp luật.</w:t>
      </w:r>
    </w:p>
    <w:p w:rsidR="00775A5D" w:rsidRPr="00D80CA3" w:rsidRDefault="00775A5D" w:rsidP="00775A5D">
      <w:pPr>
        <w:spacing w:before="120" w:after="120"/>
        <w:jc w:val="both"/>
        <w:rPr>
          <w:b/>
          <w:color w:val="auto"/>
        </w:rPr>
      </w:pPr>
      <w:r w:rsidRPr="00D80CA3">
        <w:rPr>
          <w:color w:val="auto"/>
          <w:lang w:val="vi-VN"/>
        </w:rPr>
        <w:tab/>
      </w:r>
      <w:r w:rsidRPr="00D80CA3">
        <w:rPr>
          <w:b/>
          <w:color w:val="auto"/>
        </w:rPr>
        <w:t>III.</w:t>
      </w:r>
      <w:r w:rsidRPr="00D80CA3">
        <w:rPr>
          <w:color w:val="auto"/>
        </w:rPr>
        <w:t xml:space="preserve"> </w:t>
      </w:r>
      <w:r w:rsidRPr="00D80CA3">
        <w:rPr>
          <w:b/>
          <w:color w:val="auto"/>
          <w:lang w:val="vi-VN"/>
        </w:rPr>
        <w:t>Kiến nghị</w:t>
      </w:r>
    </w:p>
    <w:p w:rsidR="00775A5D" w:rsidRPr="00D80CA3" w:rsidRDefault="00775A5D" w:rsidP="00775A5D">
      <w:pPr>
        <w:spacing w:before="120" w:after="120"/>
        <w:jc w:val="both"/>
        <w:rPr>
          <w:color w:val="auto"/>
          <w:lang w:val="nl-NL"/>
        </w:rPr>
      </w:pPr>
      <w:r w:rsidRPr="00D80CA3">
        <w:rPr>
          <w:color w:val="auto"/>
          <w:lang w:val="vi-VN"/>
        </w:rPr>
        <w:tab/>
        <w:t>Thực hiện năm ngân sách 201</w:t>
      </w:r>
      <w:r w:rsidRPr="00D80CA3">
        <w:rPr>
          <w:color w:val="auto"/>
        </w:rPr>
        <w:t>5</w:t>
      </w:r>
      <w:r w:rsidRPr="00D80CA3">
        <w:rPr>
          <w:color w:val="auto"/>
          <w:lang w:val="vi-VN"/>
        </w:rPr>
        <w:t xml:space="preserve"> tuy còn một số vấn đề tồn tại nêu trên, nội dung đề nghị quyết toán ngân sách năm 201</w:t>
      </w:r>
      <w:r w:rsidRPr="00D80CA3">
        <w:rPr>
          <w:color w:val="auto"/>
        </w:rPr>
        <w:t>5</w:t>
      </w:r>
      <w:r w:rsidRPr="00D80CA3">
        <w:rPr>
          <w:color w:val="auto"/>
          <w:lang w:val="vi-VN"/>
        </w:rPr>
        <w:t xml:space="preserve"> cơ bản đảm bảo theo quy định; số liệu đã được đối chiếu, khớp đúng giữa các cơ quan tài chính, thuế và Kho bạc Nhà nước, Ban Kinh tế </w:t>
      </w:r>
      <w:r w:rsidRPr="00D80CA3">
        <w:rPr>
          <w:color w:val="auto"/>
        </w:rPr>
        <w:t>- Xã hội</w:t>
      </w:r>
      <w:r w:rsidRPr="00D80CA3">
        <w:rPr>
          <w:color w:val="auto"/>
          <w:lang w:val="vi-VN"/>
        </w:rPr>
        <w:t xml:space="preserve"> thống nhất và đề nghị Hội đồng nhân dân </w:t>
      </w:r>
      <w:r w:rsidRPr="00D80CA3">
        <w:rPr>
          <w:color w:val="auto"/>
        </w:rPr>
        <w:t>huyện</w:t>
      </w:r>
      <w:r w:rsidRPr="00D80CA3">
        <w:rPr>
          <w:color w:val="auto"/>
          <w:lang w:val="vi-VN"/>
        </w:rPr>
        <w:t xml:space="preserve"> xem xét, phê chuẩn quyết toán ngân sách địa phương, cụ thể như sau:</w:t>
      </w:r>
    </w:p>
    <w:tbl>
      <w:tblPr>
        <w:tblW w:w="4731" w:type="pct"/>
        <w:tblInd w:w="392" w:type="dxa"/>
        <w:tblLook w:val="01E0"/>
      </w:tblPr>
      <w:tblGrid>
        <w:gridCol w:w="5696"/>
        <w:gridCol w:w="3360"/>
      </w:tblGrid>
      <w:tr w:rsidR="00775A5D" w:rsidRPr="00D80CA3" w:rsidTr="00787582">
        <w:tc>
          <w:tcPr>
            <w:tcW w:w="3145" w:type="pct"/>
            <w:shd w:val="clear" w:color="auto" w:fill="auto"/>
          </w:tcPr>
          <w:p w:rsidR="00775A5D" w:rsidRPr="00D80CA3" w:rsidRDefault="00775A5D" w:rsidP="00787582">
            <w:pPr>
              <w:spacing w:before="60" w:after="60"/>
              <w:rPr>
                <w:b/>
                <w:bCs/>
                <w:color w:val="auto"/>
                <w:lang w:val="nl-NL"/>
              </w:rPr>
            </w:pPr>
            <w:r w:rsidRPr="00D80CA3">
              <w:rPr>
                <w:b/>
                <w:bCs/>
                <w:color w:val="auto"/>
                <w:lang w:val="nl-NL"/>
              </w:rPr>
              <w:t>1. Tổng thu ngân sách NN trên địa bàn:</w:t>
            </w:r>
          </w:p>
        </w:tc>
        <w:tc>
          <w:tcPr>
            <w:tcW w:w="1855" w:type="pct"/>
            <w:shd w:val="clear" w:color="auto" w:fill="auto"/>
          </w:tcPr>
          <w:p w:rsidR="00775A5D" w:rsidRPr="00D80CA3" w:rsidRDefault="00775A5D" w:rsidP="00775A5D">
            <w:pPr>
              <w:numPr>
                <w:ilvl w:val="3"/>
                <w:numId w:val="3"/>
              </w:numPr>
              <w:spacing w:before="60" w:after="60"/>
              <w:jc w:val="right"/>
              <w:rPr>
                <w:bCs/>
                <w:color w:val="auto"/>
              </w:rPr>
            </w:pPr>
            <w:r w:rsidRPr="00D80CA3">
              <w:rPr>
                <w:b/>
                <w:color w:val="auto"/>
              </w:rPr>
              <w:t>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lang w:val="nl-NL"/>
              </w:rPr>
            </w:pPr>
            <w:r w:rsidRPr="00D80CA3">
              <w:rPr>
                <w:bCs/>
                <w:color w:val="auto"/>
                <w:lang w:val="nl-NL"/>
              </w:rPr>
              <w:t>- Thu từ DNNN trung ương</w:t>
            </w:r>
          </w:p>
        </w:tc>
        <w:tc>
          <w:tcPr>
            <w:tcW w:w="1855" w:type="pct"/>
            <w:shd w:val="clear" w:color="auto" w:fill="auto"/>
          </w:tcPr>
          <w:p w:rsidR="00775A5D" w:rsidRPr="00D80CA3" w:rsidRDefault="00775A5D" w:rsidP="00787582">
            <w:pPr>
              <w:spacing w:before="60" w:after="60"/>
              <w:jc w:val="right"/>
              <w:rPr>
                <w:color w:val="auto"/>
              </w:rPr>
            </w:pPr>
            <w:r w:rsidRPr="00D80CA3">
              <w:rPr>
                <w:color w:val="auto"/>
              </w:rPr>
              <w:t>936.649.151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lang w:val="nl-NL"/>
              </w:rPr>
            </w:pPr>
            <w:r w:rsidRPr="00D80CA3">
              <w:rPr>
                <w:bCs/>
                <w:color w:val="auto"/>
                <w:lang w:val="nl-NL"/>
              </w:rPr>
              <w:lastRenderedPageBreak/>
              <w:t>- Thu từ DNNN địa phương:</w:t>
            </w:r>
          </w:p>
        </w:tc>
        <w:tc>
          <w:tcPr>
            <w:tcW w:w="1855" w:type="pct"/>
            <w:shd w:val="clear" w:color="auto" w:fill="auto"/>
          </w:tcPr>
          <w:p w:rsidR="00775A5D" w:rsidRPr="00D80CA3" w:rsidRDefault="00775A5D" w:rsidP="00787582">
            <w:pPr>
              <w:spacing w:before="60" w:after="60"/>
              <w:jc w:val="right"/>
              <w:rPr>
                <w:color w:val="auto"/>
              </w:rPr>
            </w:pPr>
            <w:r w:rsidRPr="00D80CA3">
              <w:rPr>
                <w:color w:val="auto"/>
              </w:rPr>
              <w:t>493.651.645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lang w:val="nl-NL"/>
              </w:rPr>
            </w:pPr>
            <w:r w:rsidRPr="00D80CA3">
              <w:rPr>
                <w:bCs/>
                <w:color w:val="auto"/>
                <w:lang w:val="nl-NL"/>
              </w:rPr>
              <w:t>- Thu từ thành phần kinh tế NQD:</w:t>
            </w:r>
          </w:p>
        </w:tc>
        <w:tc>
          <w:tcPr>
            <w:tcW w:w="1855" w:type="pct"/>
            <w:shd w:val="clear" w:color="auto" w:fill="auto"/>
          </w:tcPr>
          <w:p w:rsidR="00775A5D" w:rsidRPr="00D80CA3" w:rsidRDefault="00775A5D" w:rsidP="00787582">
            <w:pPr>
              <w:spacing w:before="60" w:after="60"/>
              <w:jc w:val="right"/>
              <w:rPr>
                <w:color w:val="auto"/>
              </w:rPr>
            </w:pPr>
            <w:r w:rsidRPr="00D80CA3">
              <w:rPr>
                <w:color w:val="auto"/>
              </w:rPr>
              <w:t>67.816.523.993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lang w:val="nl-NL"/>
              </w:rPr>
            </w:pPr>
            <w:r w:rsidRPr="00D80CA3">
              <w:rPr>
                <w:bCs/>
                <w:color w:val="auto"/>
                <w:lang w:val="nl-NL"/>
              </w:rPr>
              <w:t>- Thu tiền sử dụng đất:</w:t>
            </w:r>
          </w:p>
        </w:tc>
        <w:tc>
          <w:tcPr>
            <w:tcW w:w="1855" w:type="pct"/>
            <w:shd w:val="clear" w:color="auto" w:fill="auto"/>
          </w:tcPr>
          <w:p w:rsidR="00775A5D" w:rsidRPr="00D80CA3" w:rsidRDefault="00775A5D" w:rsidP="00787582">
            <w:pPr>
              <w:spacing w:before="60" w:after="60"/>
              <w:jc w:val="right"/>
              <w:rPr>
                <w:color w:val="auto"/>
              </w:rPr>
            </w:pPr>
            <w:r w:rsidRPr="00D80CA3">
              <w:rPr>
                <w:color w:val="auto"/>
              </w:rPr>
              <w:t>10.687.462.760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lang w:val="nl-NL"/>
              </w:rPr>
            </w:pPr>
            <w:r w:rsidRPr="00D80CA3">
              <w:rPr>
                <w:bCs/>
                <w:color w:val="auto"/>
                <w:lang w:val="nl-NL"/>
              </w:rPr>
              <w:t>- Các khoản thu còn lại:</w:t>
            </w:r>
          </w:p>
        </w:tc>
        <w:tc>
          <w:tcPr>
            <w:tcW w:w="1855" w:type="pct"/>
            <w:shd w:val="clear" w:color="auto" w:fill="auto"/>
          </w:tcPr>
          <w:p w:rsidR="00775A5D" w:rsidRPr="00D80CA3" w:rsidRDefault="00775A5D" w:rsidP="00787582">
            <w:pPr>
              <w:spacing w:before="60" w:after="60"/>
              <w:jc w:val="right"/>
              <w:rPr>
                <w:color w:val="auto"/>
              </w:rPr>
            </w:pPr>
            <w:r w:rsidRPr="00D80CA3">
              <w:rPr>
                <w:color w:val="auto"/>
              </w:rPr>
              <w:t>7.892.304.123 đồng</w:t>
            </w:r>
          </w:p>
        </w:tc>
      </w:tr>
      <w:tr w:rsidR="00775A5D" w:rsidRPr="00D80CA3" w:rsidTr="00787582">
        <w:tc>
          <w:tcPr>
            <w:tcW w:w="3145" w:type="pct"/>
            <w:shd w:val="clear" w:color="auto" w:fill="auto"/>
          </w:tcPr>
          <w:p w:rsidR="00775A5D" w:rsidRPr="00D80CA3" w:rsidRDefault="00775A5D" w:rsidP="00787582">
            <w:pPr>
              <w:spacing w:before="60" w:after="60"/>
              <w:rPr>
                <w:b/>
                <w:bCs/>
                <w:color w:val="auto"/>
              </w:rPr>
            </w:pPr>
            <w:r w:rsidRPr="00D80CA3">
              <w:rPr>
                <w:b/>
                <w:bCs/>
                <w:color w:val="auto"/>
              </w:rPr>
              <w:t>2. Tổng thu ngân sách huyện:</w:t>
            </w:r>
          </w:p>
        </w:tc>
        <w:tc>
          <w:tcPr>
            <w:tcW w:w="1855" w:type="pct"/>
            <w:shd w:val="clear" w:color="auto" w:fill="auto"/>
          </w:tcPr>
          <w:p w:rsidR="00775A5D" w:rsidRPr="00D80CA3" w:rsidRDefault="00775A5D" w:rsidP="00775A5D">
            <w:pPr>
              <w:numPr>
                <w:ilvl w:val="3"/>
                <w:numId w:val="4"/>
              </w:numPr>
              <w:spacing w:before="60" w:after="60"/>
              <w:jc w:val="right"/>
              <w:rPr>
                <w:bCs/>
                <w:color w:val="auto"/>
              </w:rPr>
            </w:pPr>
            <w:r w:rsidRPr="00D80CA3">
              <w:rPr>
                <w:b/>
                <w:color w:val="auto"/>
              </w:rPr>
              <w:t>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rPr>
            </w:pPr>
            <w:r w:rsidRPr="00D80CA3">
              <w:rPr>
                <w:bCs/>
                <w:color w:val="auto"/>
              </w:rPr>
              <w:t>- Thu NS huyện hưởng theo phân cấp:</w:t>
            </w:r>
          </w:p>
        </w:tc>
        <w:tc>
          <w:tcPr>
            <w:tcW w:w="1855" w:type="pct"/>
            <w:shd w:val="clear" w:color="auto" w:fill="auto"/>
          </w:tcPr>
          <w:p w:rsidR="00775A5D" w:rsidRPr="00D80CA3" w:rsidRDefault="00775A5D" w:rsidP="00787582">
            <w:pPr>
              <w:spacing w:before="60" w:after="60"/>
              <w:ind w:left="42"/>
              <w:jc w:val="right"/>
              <w:rPr>
                <w:bCs/>
                <w:color w:val="auto"/>
              </w:rPr>
            </w:pPr>
            <w:r w:rsidRPr="00D80CA3">
              <w:rPr>
                <w:bCs/>
                <w:color w:val="auto"/>
              </w:rPr>
              <w:t>81.177.240.680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rPr>
            </w:pPr>
            <w:r w:rsidRPr="00D80CA3">
              <w:rPr>
                <w:bCs/>
                <w:color w:val="auto"/>
              </w:rPr>
              <w:t>- Thu chuyển nguồn:</w:t>
            </w:r>
          </w:p>
        </w:tc>
        <w:tc>
          <w:tcPr>
            <w:tcW w:w="1855" w:type="pct"/>
            <w:shd w:val="clear" w:color="auto" w:fill="auto"/>
          </w:tcPr>
          <w:p w:rsidR="00775A5D" w:rsidRPr="00D80CA3" w:rsidRDefault="00775A5D" w:rsidP="00787582">
            <w:pPr>
              <w:spacing w:before="60" w:after="60"/>
              <w:ind w:left="42"/>
              <w:jc w:val="right"/>
              <w:rPr>
                <w:bCs/>
                <w:color w:val="auto"/>
              </w:rPr>
            </w:pPr>
            <w:r w:rsidRPr="00D80CA3">
              <w:rPr>
                <w:bCs/>
                <w:color w:val="auto"/>
              </w:rPr>
              <w:t>37.846.268.432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rPr>
            </w:pPr>
            <w:r w:rsidRPr="00D80CA3">
              <w:rPr>
                <w:bCs/>
                <w:color w:val="auto"/>
              </w:rPr>
              <w:t>- Thu kết dư ngân sách:</w:t>
            </w:r>
          </w:p>
        </w:tc>
        <w:tc>
          <w:tcPr>
            <w:tcW w:w="1855" w:type="pct"/>
            <w:shd w:val="clear" w:color="auto" w:fill="auto"/>
          </w:tcPr>
          <w:p w:rsidR="00775A5D" w:rsidRPr="00D80CA3" w:rsidRDefault="00775A5D" w:rsidP="00787582">
            <w:pPr>
              <w:spacing w:before="60" w:after="60"/>
              <w:ind w:left="42"/>
              <w:jc w:val="right"/>
              <w:rPr>
                <w:bCs/>
                <w:color w:val="auto"/>
              </w:rPr>
            </w:pPr>
            <w:r w:rsidRPr="00D80CA3">
              <w:rPr>
                <w:bCs/>
                <w:color w:val="auto"/>
              </w:rPr>
              <w:t>4.872.912.411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rPr>
            </w:pPr>
            <w:r w:rsidRPr="00D80CA3">
              <w:rPr>
                <w:bCs/>
                <w:color w:val="auto"/>
              </w:rPr>
              <w:t>- Bổ sung ngân sách tỉnh:</w:t>
            </w:r>
          </w:p>
        </w:tc>
        <w:tc>
          <w:tcPr>
            <w:tcW w:w="1855" w:type="pct"/>
            <w:shd w:val="clear" w:color="auto" w:fill="auto"/>
          </w:tcPr>
          <w:p w:rsidR="00775A5D" w:rsidRPr="00D80CA3" w:rsidRDefault="00775A5D" w:rsidP="00787582">
            <w:pPr>
              <w:spacing w:before="60" w:after="60"/>
              <w:ind w:left="42"/>
              <w:jc w:val="right"/>
              <w:rPr>
                <w:bCs/>
                <w:color w:val="auto"/>
              </w:rPr>
            </w:pPr>
            <w:r w:rsidRPr="00D80CA3">
              <w:rPr>
                <w:bCs/>
                <w:color w:val="auto"/>
              </w:rPr>
              <w:t>215.031.729.141 đồng</w:t>
            </w:r>
          </w:p>
        </w:tc>
      </w:tr>
      <w:tr w:rsidR="00775A5D" w:rsidRPr="00D80CA3" w:rsidTr="00787582">
        <w:tc>
          <w:tcPr>
            <w:tcW w:w="3145" w:type="pct"/>
            <w:shd w:val="clear" w:color="auto" w:fill="auto"/>
          </w:tcPr>
          <w:p w:rsidR="00775A5D" w:rsidRPr="00D80CA3" w:rsidRDefault="00775A5D" w:rsidP="00787582">
            <w:pPr>
              <w:spacing w:before="60" w:after="60"/>
              <w:rPr>
                <w:bCs/>
                <w:color w:val="auto"/>
              </w:rPr>
            </w:pPr>
            <w:r w:rsidRPr="00D80CA3">
              <w:rPr>
                <w:bCs/>
                <w:color w:val="auto"/>
              </w:rPr>
              <w:t>- Các khoản thu đơn vị quản lý qua NSNN:</w:t>
            </w:r>
          </w:p>
        </w:tc>
        <w:tc>
          <w:tcPr>
            <w:tcW w:w="1855" w:type="pct"/>
            <w:shd w:val="clear" w:color="auto" w:fill="auto"/>
          </w:tcPr>
          <w:p w:rsidR="00775A5D" w:rsidRPr="00D80CA3" w:rsidRDefault="00775A5D" w:rsidP="00775A5D">
            <w:pPr>
              <w:numPr>
                <w:ilvl w:val="2"/>
                <w:numId w:val="5"/>
              </w:numPr>
              <w:spacing w:before="60" w:after="60"/>
              <w:jc w:val="right"/>
              <w:rPr>
                <w:bCs/>
                <w:color w:val="auto"/>
              </w:rPr>
            </w:pPr>
            <w:r w:rsidRPr="00D80CA3">
              <w:rPr>
                <w:bCs/>
                <w:color w:val="auto"/>
              </w:rPr>
              <w:t>đồng</w:t>
            </w:r>
          </w:p>
        </w:tc>
      </w:tr>
      <w:tr w:rsidR="00775A5D" w:rsidRPr="00D80CA3" w:rsidTr="00787582">
        <w:tc>
          <w:tcPr>
            <w:tcW w:w="3145" w:type="pct"/>
            <w:shd w:val="clear" w:color="auto" w:fill="auto"/>
          </w:tcPr>
          <w:p w:rsidR="00775A5D" w:rsidRPr="00D80CA3" w:rsidRDefault="00775A5D" w:rsidP="00787582">
            <w:pPr>
              <w:spacing w:before="60" w:after="60"/>
              <w:rPr>
                <w:b/>
                <w:bCs/>
                <w:color w:val="auto"/>
              </w:rPr>
            </w:pPr>
            <w:r w:rsidRPr="00D80CA3">
              <w:rPr>
                <w:b/>
                <w:bCs/>
                <w:color w:val="auto"/>
              </w:rPr>
              <w:t>3. Chi ngân sách ngân sách huyện:</w:t>
            </w:r>
          </w:p>
        </w:tc>
        <w:tc>
          <w:tcPr>
            <w:tcW w:w="1855" w:type="pct"/>
            <w:shd w:val="clear" w:color="auto" w:fill="auto"/>
          </w:tcPr>
          <w:p w:rsidR="00775A5D" w:rsidRPr="00D80CA3" w:rsidRDefault="00775A5D" w:rsidP="00787582">
            <w:pPr>
              <w:spacing w:before="60" w:after="60"/>
              <w:ind w:left="418"/>
              <w:jc w:val="right"/>
              <w:rPr>
                <w:b/>
                <w:bCs/>
                <w:color w:val="auto"/>
              </w:rPr>
            </w:pPr>
            <w:r w:rsidRPr="00D80CA3">
              <w:rPr>
                <w:b/>
                <w:bCs/>
                <w:color w:val="auto"/>
              </w:rPr>
              <w:t xml:space="preserve"> </w:t>
            </w:r>
            <w:r w:rsidRPr="00D80CA3">
              <w:rPr>
                <w:b/>
                <w:color w:val="auto"/>
              </w:rPr>
              <w:t>326.643.582.202 đồng</w:t>
            </w:r>
          </w:p>
        </w:tc>
      </w:tr>
      <w:tr w:rsidR="00775A5D" w:rsidRPr="00D80CA3" w:rsidTr="00787582">
        <w:tc>
          <w:tcPr>
            <w:tcW w:w="3145" w:type="pct"/>
            <w:shd w:val="clear" w:color="auto" w:fill="auto"/>
          </w:tcPr>
          <w:p w:rsidR="00775A5D" w:rsidRPr="00D80CA3" w:rsidRDefault="00775A5D" w:rsidP="00787582">
            <w:pPr>
              <w:spacing w:before="60" w:after="60"/>
              <w:rPr>
                <w:color w:val="auto"/>
              </w:rPr>
            </w:pPr>
            <w:r w:rsidRPr="00D80CA3">
              <w:rPr>
                <w:color w:val="auto"/>
              </w:rPr>
              <w:t>- Chi đầu tư phát triển:</w:t>
            </w:r>
          </w:p>
        </w:tc>
        <w:tc>
          <w:tcPr>
            <w:tcW w:w="1855" w:type="pct"/>
            <w:shd w:val="clear" w:color="auto" w:fill="auto"/>
          </w:tcPr>
          <w:p w:rsidR="00775A5D" w:rsidRPr="00D80CA3" w:rsidRDefault="00775A5D" w:rsidP="00787582">
            <w:pPr>
              <w:spacing w:before="60" w:after="60"/>
              <w:ind w:left="418"/>
              <w:jc w:val="right"/>
              <w:rPr>
                <w:color w:val="auto"/>
              </w:rPr>
            </w:pPr>
            <w:r w:rsidRPr="00D80CA3">
              <w:rPr>
                <w:bCs/>
                <w:color w:val="auto"/>
              </w:rPr>
              <w:t xml:space="preserve"> 59.562.184.705 </w:t>
            </w:r>
            <w:r w:rsidRPr="00D80CA3">
              <w:rPr>
                <w:color w:val="auto"/>
              </w:rPr>
              <w:t>đồng</w:t>
            </w:r>
          </w:p>
        </w:tc>
      </w:tr>
      <w:tr w:rsidR="00775A5D" w:rsidRPr="00D80CA3" w:rsidTr="00787582">
        <w:tc>
          <w:tcPr>
            <w:tcW w:w="3145" w:type="pct"/>
            <w:shd w:val="clear" w:color="auto" w:fill="auto"/>
          </w:tcPr>
          <w:p w:rsidR="00775A5D" w:rsidRPr="00D80CA3" w:rsidRDefault="00775A5D" w:rsidP="00787582">
            <w:pPr>
              <w:spacing w:before="60" w:after="60"/>
              <w:rPr>
                <w:color w:val="auto"/>
              </w:rPr>
            </w:pPr>
            <w:r w:rsidRPr="00D80CA3">
              <w:rPr>
                <w:color w:val="auto"/>
              </w:rPr>
              <w:t>- Chi thường xuyên:</w:t>
            </w:r>
          </w:p>
        </w:tc>
        <w:tc>
          <w:tcPr>
            <w:tcW w:w="1855" w:type="pct"/>
            <w:shd w:val="clear" w:color="auto" w:fill="auto"/>
          </w:tcPr>
          <w:p w:rsidR="00775A5D" w:rsidRPr="00D80CA3" w:rsidRDefault="00775A5D" w:rsidP="00787582">
            <w:pPr>
              <w:spacing w:before="60" w:after="60"/>
              <w:jc w:val="right"/>
              <w:rPr>
                <w:color w:val="auto"/>
              </w:rPr>
            </w:pPr>
            <w:r w:rsidRPr="00D80CA3">
              <w:rPr>
                <w:color w:val="auto"/>
              </w:rPr>
              <w:t>229.352.330.673 đồng</w:t>
            </w:r>
          </w:p>
        </w:tc>
      </w:tr>
      <w:tr w:rsidR="00775A5D" w:rsidRPr="00D80CA3" w:rsidTr="00787582">
        <w:tc>
          <w:tcPr>
            <w:tcW w:w="3145" w:type="pct"/>
            <w:shd w:val="clear" w:color="auto" w:fill="auto"/>
          </w:tcPr>
          <w:p w:rsidR="00775A5D" w:rsidRPr="00D80CA3" w:rsidRDefault="00775A5D" w:rsidP="00787582">
            <w:pPr>
              <w:spacing w:before="60" w:after="60"/>
              <w:rPr>
                <w:color w:val="auto"/>
              </w:rPr>
            </w:pPr>
            <w:r w:rsidRPr="00D80CA3">
              <w:rPr>
                <w:color w:val="auto"/>
              </w:rPr>
              <w:t>- Chi chuyển nguồn:</w:t>
            </w:r>
          </w:p>
        </w:tc>
        <w:tc>
          <w:tcPr>
            <w:tcW w:w="1855" w:type="pct"/>
            <w:shd w:val="clear" w:color="auto" w:fill="auto"/>
          </w:tcPr>
          <w:p w:rsidR="00775A5D" w:rsidRPr="00D80CA3" w:rsidRDefault="00775A5D" w:rsidP="00787582">
            <w:pPr>
              <w:spacing w:before="60" w:after="60"/>
              <w:ind w:left="558"/>
              <w:jc w:val="right"/>
              <w:rPr>
                <w:color w:val="auto"/>
              </w:rPr>
            </w:pPr>
            <w:r w:rsidRPr="00D80CA3">
              <w:rPr>
                <w:color w:val="auto"/>
              </w:rPr>
              <w:t>36.876.509.796 đồng</w:t>
            </w:r>
          </w:p>
        </w:tc>
      </w:tr>
      <w:tr w:rsidR="00775A5D" w:rsidRPr="00D80CA3" w:rsidTr="00787582">
        <w:tc>
          <w:tcPr>
            <w:tcW w:w="3145" w:type="pct"/>
            <w:shd w:val="clear" w:color="auto" w:fill="auto"/>
          </w:tcPr>
          <w:p w:rsidR="00775A5D" w:rsidRPr="00D80CA3" w:rsidRDefault="00775A5D" w:rsidP="00787582">
            <w:pPr>
              <w:spacing w:before="60" w:after="60"/>
              <w:rPr>
                <w:color w:val="auto"/>
              </w:rPr>
            </w:pPr>
            <w:r w:rsidRPr="00D80CA3">
              <w:rPr>
                <w:color w:val="auto"/>
              </w:rPr>
              <w:t>- Các khoản ghi chi đơn vị quản lý qua NSNN:</w:t>
            </w:r>
          </w:p>
        </w:tc>
        <w:tc>
          <w:tcPr>
            <w:tcW w:w="1855" w:type="pct"/>
            <w:shd w:val="clear" w:color="auto" w:fill="auto"/>
          </w:tcPr>
          <w:p w:rsidR="00775A5D" w:rsidRPr="00D80CA3" w:rsidRDefault="00775A5D" w:rsidP="00775A5D">
            <w:pPr>
              <w:numPr>
                <w:ilvl w:val="2"/>
                <w:numId w:val="6"/>
              </w:numPr>
              <w:spacing w:before="60" w:after="60"/>
              <w:jc w:val="right"/>
              <w:rPr>
                <w:color w:val="auto"/>
              </w:rPr>
            </w:pPr>
            <w:r w:rsidRPr="00D80CA3">
              <w:rPr>
                <w:color w:val="auto"/>
              </w:rPr>
              <w:t>đồng</w:t>
            </w:r>
          </w:p>
        </w:tc>
      </w:tr>
      <w:tr w:rsidR="00775A5D" w:rsidRPr="00D80CA3" w:rsidTr="00787582">
        <w:tc>
          <w:tcPr>
            <w:tcW w:w="3145" w:type="pct"/>
            <w:shd w:val="clear" w:color="auto" w:fill="auto"/>
          </w:tcPr>
          <w:p w:rsidR="00775A5D" w:rsidRPr="00D80CA3" w:rsidRDefault="00775A5D" w:rsidP="00787582">
            <w:pPr>
              <w:spacing w:before="60" w:after="60"/>
              <w:rPr>
                <w:color w:val="auto"/>
              </w:rPr>
            </w:pPr>
            <w:r w:rsidRPr="00D80CA3">
              <w:rPr>
                <w:color w:val="auto"/>
              </w:rPr>
              <w:t>- Chi điều chỉnh sang huyện Ia H’Drai:</w:t>
            </w:r>
          </w:p>
        </w:tc>
        <w:tc>
          <w:tcPr>
            <w:tcW w:w="1855" w:type="pct"/>
            <w:shd w:val="clear" w:color="auto" w:fill="auto"/>
          </w:tcPr>
          <w:p w:rsidR="00775A5D" w:rsidRPr="00D80CA3" w:rsidRDefault="00775A5D" w:rsidP="00787582">
            <w:pPr>
              <w:spacing w:before="60" w:after="60"/>
              <w:ind w:left="558"/>
              <w:jc w:val="right"/>
              <w:rPr>
                <w:color w:val="auto"/>
              </w:rPr>
            </w:pPr>
            <w:r w:rsidRPr="00D80CA3">
              <w:rPr>
                <w:color w:val="auto"/>
              </w:rPr>
              <w:t>384.937.244 đồng</w:t>
            </w:r>
          </w:p>
        </w:tc>
      </w:tr>
    </w:tbl>
    <w:p w:rsidR="00775A5D" w:rsidRPr="00D80CA3" w:rsidRDefault="00775A5D" w:rsidP="00775A5D">
      <w:pPr>
        <w:spacing w:before="120" w:after="120"/>
        <w:rPr>
          <w:b/>
          <w:color w:val="auto"/>
          <w:lang w:val="nl-NL"/>
        </w:rPr>
      </w:pPr>
      <w:r w:rsidRPr="00D80CA3">
        <w:rPr>
          <w:b/>
          <w:color w:val="auto"/>
          <w:lang w:val="nl-NL"/>
        </w:rPr>
        <w:tab/>
        <w:t>4. Xử lý chênh lệch thu, chi ngân sách huyện năm 2015:</w:t>
      </w:r>
    </w:p>
    <w:p w:rsidR="00775A5D" w:rsidRPr="00D80CA3" w:rsidRDefault="00775A5D" w:rsidP="00775A5D">
      <w:pPr>
        <w:tabs>
          <w:tab w:val="left" w:pos="709"/>
        </w:tabs>
        <w:spacing w:before="120" w:after="120"/>
        <w:rPr>
          <w:color w:val="auto"/>
          <w:lang w:val="nl-NL"/>
        </w:rPr>
      </w:pPr>
      <w:r w:rsidRPr="00D80CA3">
        <w:rPr>
          <w:color w:val="auto"/>
          <w:lang w:val="nl-NL"/>
        </w:rPr>
        <w:tab/>
        <w:t>Chênh lệch thu chi ngân sách huyện: 12.752.188.246 đồng,</w:t>
      </w:r>
    </w:p>
    <w:p w:rsidR="00775A5D" w:rsidRPr="00D80CA3" w:rsidRDefault="00775A5D" w:rsidP="00775A5D">
      <w:pPr>
        <w:tabs>
          <w:tab w:val="left" w:pos="709"/>
        </w:tabs>
        <w:spacing w:before="120" w:after="120"/>
        <w:rPr>
          <w:color w:val="auto"/>
          <w:lang w:val="nl-NL"/>
        </w:rPr>
      </w:pPr>
      <w:r w:rsidRPr="00D80CA3">
        <w:rPr>
          <w:color w:val="auto"/>
          <w:lang w:val="nl-NL"/>
        </w:rPr>
        <w:tab/>
        <w:t xml:space="preserve">Trong đó: </w:t>
      </w:r>
      <w:r w:rsidRPr="00D80CA3">
        <w:rPr>
          <w:color w:val="auto"/>
          <w:lang w:val="nl-NL"/>
        </w:rPr>
        <w:tab/>
        <w:t xml:space="preserve">- Ngân sách cấp huyện: </w:t>
      </w:r>
      <w:r w:rsidRPr="00D80CA3">
        <w:rPr>
          <w:color w:val="auto"/>
          <w:lang w:val="nl-NL"/>
        </w:rPr>
        <w:tab/>
        <w:t>12.162.056.405 đồng</w:t>
      </w:r>
    </w:p>
    <w:p w:rsidR="00775A5D" w:rsidRPr="00D80CA3" w:rsidRDefault="00775A5D" w:rsidP="00775A5D">
      <w:pPr>
        <w:tabs>
          <w:tab w:val="left" w:pos="709"/>
        </w:tabs>
        <w:spacing w:before="120" w:after="120"/>
        <w:rPr>
          <w:color w:val="auto"/>
          <w:lang w:val="nl-NL"/>
        </w:rPr>
      </w:pPr>
      <w:r w:rsidRPr="00D80CA3">
        <w:rPr>
          <w:color w:val="auto"/>
          <w:lang w:val="nl-NL"/>
        </w:rPr>
        <w:tab/>
      </w:r>
      <w:r w:rsidRPr="00D80CA3">
        <w:rPr>
          <w:color w:val="auto"/>
          <w:lang w:val="nl-NL"/>
        </w:rPr>
        <w:tab/>
      </w:r>
      <w:r w:rsidRPr="00D80CA3">
        <w:rPr>
          <w:color w:val="auto"/>
          <w:lang w:val="nl-NL"/>
        </w:rPr>
        <w:tab/>
      </w:r>
      <w:r w:rsidRPr="00D80CA3">
        <w:rPr>
          <w:color w:val="auto"/>
          <w:lang w:val="nl-NL"/>
        </w:rPr>
        <w:tab/>
        <w:t xml:space="preserve">- Ngân sách cấp xã: </w:t>
      </w:r>
      <w:r w:rsidRPr="00D80CA3">
        <w:rPr>
          <w:color w:val="auto"/>
          <w:lang w:val="nl-NL"/>
        </w:rPr>
        <w:tab/>
        <w:t xml:space="preserve">     590.131.841 đồng</w:t>
      </w:r>
    </w:p>
    <w:p w:rsidR="00775A5D" w:rsidRPr="00D80CA3" w:rsidRDefault="00775A5D" w:rsidP="00775A5D">
      <w:pPr>
        <w:tabs>
          <w:tab w:val="left" w:pos="709"/>
        </w:tabs>
        <w:spacing w:before="120" w:after="120"/>
        <w:rPr>
          <w:b/>
          <w:color w:val="auto"/>
          <w:lang w:val="nl-NL"/>
        </w:rPr>
      </w:pPr>
      <w:r w:rsidRPr="00D80CA3">
        <w:rPr>
          <w:color w:val="auto"/>
          <w:lang w:val="nl-NL"/>
        </w:rPr>
        <w:tab/>
      </w:r>
      <w:r w:rsidRPr="00D80CA3">
        <w:rPr>
          <w:b/>
          <w:color w:val="auto"/>
          <w:lang w:val="nl-NL"/>
        </w:rPr>
        <w:t>4.1. Xử lý chênh lệch thu, chi ngân sách cấp huyện:</w:t>
      </w:r>
    </w:p>
    <w:p w:rsidR="00775A5D" w:rsidRPr="00D80CA3" w:rsidRDefault="00775A5D" w:rsidP="00775A5D">
      <w:pPr>
        <w:tabs>
          <w:tab w:val="left" w:pos="709"/>
        </w:tabs>
        <w:spacing w:before="120" w:after="120"/>
        <w:rPr>
          <w:color w:val="auto"/>
          <w:lang w:val="nl-NL"/>
        </w:rPr>
      </w:pPr>
      <w:r w:rsidRPr="00D80CA3">
        <w:rPr>
          <w:color w:val="auto"/>
          <w:lang w:val="nl-NL"/>
        </w:rPr>
        <w:tab/>
        <w:t>- Chuyển số tiền 12.162.056.405 đồng sang thu ngân sách huyện năm 2016.</w:t>
      </w:r>
    </w:p>
    <w:p w:rsidR="00775A5D" w:rsidRPr="00D80CA3" w:rsidRDefault="00775A5D" w:rsidP="00775A5D">
      <w:pPr>
        <w:tabs>
          <w:tab w:val="left" w:pos="709"/>
        </w:tabs>
        <w:spacing w:before="120" w:after="120"/>
        <w:rPr>
          <w:color w:val="auto"/>
          <w:lang w:val="nl-NL"/>
        </w:rPr>
      </w:pPr>
      <w:r w:rsidRPr="00D80CA3">
        <w:rPr>
          <w:color w:val="auto"/>
          <w:lang w:val="nl-NL"/>
        </w:rPr>
        <w:tab/>
        <w:t>- Ban Kinh tế - Xã hội đã tham mưu cho Thường trực HĐND huyện và đã được Thường trực HĐND huyện thống nhất phân bổ nguồn kết dư ngân sách để thực hiện các nhiệm vụ chi năm 2016 (</w:t>
      </w:r>
      <w:r w:rsidRPr="00D80CA3">
        <w:rPr>
          <w:i/>
          <w:color w:val="auto"/>
          <w:lang w:val="nl-NL"/>
        </w:rPr>
        <w:t>tại Báo cáo số 14/BC-HĐND ngày 29/7/2016 của HĐND huyện</w:t>
      </w:r>
      <w:r w:rsidRPr="00D80CA3">
        <w:rPr>
          <w:color w:val="auto"/>
          <w:lang w:val="nl-NL"/>
        </w:rPr>
        <w:t>).</w:t>
      </w:r>
    </w:p>
    <w:p w:rsidR="00775A5D" w:rsidRPr="00D80CA3" w:rsidRDefault="00775A5D" w:rsidP="00775A5D">
      <w:pPr>
        <w:spacing w:before="120" w:after="120"/>
        <w:ind w:firstLine="720"/>
        <w:rPr>
          <w:b/>
          <w:color w:val="auto"/>
          <w:lang w:val="nl-NL"/>
        </w:rPr>
      </w:pPr>
      <w:r w:rsidRPr="00D80CA3">
        <w:rPr>
          <w:b/>
          <w:color w:val="auto"/>
          <w:lang w:val="nl-NL"/>
        </w:rPr>
        <w:t>4.2. Xử lý chênh lệch ngân sách xã:</w:t>
      </w:r>
    </w:p>
    <w:p w:rsidR="00775A5D" w:rsidRPr="00D80CA3" w:rsidRDefault="00775A5D" w:rsidP="00775A5D">
      <w:pPr>
        <w:spacing w:before="120" w:after="120"/>
        <w:ind w:firstLine="720"/>
        <w:rPr>
          <w:color w:val="auto"/>
          <w:lang w:val="nl-NL"/>
        </w:rPr>
      </w:pPr>
      <w:r w:rsidRPr="00D80CA3">
        <w:rPr>
          <w:color w:val="auto"/>
          <w:lang w:val="nl-NL"/>
        </w:rPr>
        <w:t>Ban Kinh tế - Xã hội thống nhất giao HĐND các xã thị trấn quyết định theo quy định của Luật Ngân sách Nhà nước với số tiền 590.131.841 đồng.</w:t>
      </w:r>
    </w:p>
    <w:p w:rsidR="00775A5D" w:rsidRPr="00D80CA3" w:rsidRDefault="00775A5D" w:rsidP="00775A5D">
      <w:pPr>
        <w:spacing w:before="120" w:after="120"/>
        <w:ind w:firstLine="720"/>
        <w:rPr>
          <w:b/>
          <w:color w:val="auto"/>
          <w:lang w:val="vi-VN"/>
        </w:rPr>
      </w:pPr>
      <w:r w:rsidRPr="00D80CA3">
        <w:rPr>
          <w:b/>
          <w:color w:val="auto"/>
          <w:lang w:val="nl-NL"/>
        </w:rPr>
        <w:t xml:space="preserve">IV. </w:t>
      </w:r>
      <w:r w:rsidRPr="00D80CA3">
        <w:rPr>
          <w:b/>
          <w:color w:val="auto"/>
          <w:lang w:val="vi-VN"/>
        </w:rPr>
        <w:t xml:space="preserve">Về dự thảo Nghị quyết về phê chuẩn quyết toán ngân sách địa phương và phân bổ kết dư ngân sách </w:t>
      </w:r>
      <w:r w:rsidRPr="00D80CA3">
        <w:rPr>
          <w:b/>
          <w:color w:val="auto"/>
        </w:rPr>
        <w:t>huyện</w:t>
      </w:r>
      <w:r w:rsidRPr="00D80CA3">
        <w:rPr>
          <w:b/>
          <w:color w:val="auto"/>
          <w:lang w:val="vi-VN"/>
        </w:rPr>
        <w:t>:</w:t>
      </w:r>
    </w:p>
    <w:p w:rsidR="00775A5D" w:rsidRPr="00D80CA3" w:rsidRDefault="00775A5D" w:rsidP="00775A5D">
      <w:pPr>
        <w:spacing w:before="120" w:after="120"/>
        <w:rPr>
          <w:color w:val="auto"/>
          <w:lang w:val="nl-NL"/>
        </w:rPr>
      </w:pPr>
      <w:r w:rsidRPr="00D80CA3">
        <w:rPr>
          <w:b/>
          <w:color w:val="auto"/>
          <w:lang w:val="nl-NL"/>
        </w:rPr>
        <w:tab/>
      </w:r>
      <w:r w:rsidRPr="00D80CA3">
        <w:rPr>
          <w:color w:val="auto"/>
          <w:lang w:val="nl-NL"/>
        </w:rPr>
        <w:t xml:space="preserve">Qua </w:t>
      </w:r>
      <w:r w:rsidRPr="00D80CA3">
        <w:rPr>
          <w:color w:val="auto"/>
          <w:lang w:val="vi-VN"/>
        </w:rPr>
        <w:t xml:space="preserve">xem xét </w:t>
      </w:r>
      <w:r w:rsidRPr="00D80CA3">
        <w:rPr>
          <w:color w:val="auto"/>
          <w:lang w:val="nl-NL"/>
        </w:rPr>
        <w:t>dự thảo Nghị quyết, Ban Kinh tế xã hội thấy rằng:</w:t>
      </w:r>
    </w:p>
    <w:p w:rsidR="00775A5D" w:rsidRPr="00D80CA3" w:rsidRDefault="00775A5D" w:rsidP="00775A5D">
      <w:pPr>
        <w:spacing w:before="120" w:after="120"/>
        <w:rPr>
          <w:color w:val="auto"/>
          <w:lang w:val="nl-NL"/>
        </w:rPr>
      </w:pPr>
      <w:r w:rsidRPr="00D80CA3">
        <w:rPr>
          <w:color w:val="auto"/>
          <w:lang w:val="nl-NL"/>
        </w:rPr>
        <w:lastRenderedPageBreak/>
        <w:tab/>
        <w:t>- Số liệu của dự thảo Nghị quyết khớp đúng với số liệu tại Tờ trình số 193/TTr-UBND ngày 29/7/2016 của Ủy ban nhân dân huyện về việc phê chuẩn quyết toán ngân sách địa phương năm 2015.</w:t>
      </w:r>
    </w:p>
    <w:p w:rsidR="00775A5D" w:rsidRPr="00D80CA3" w:rsidRDefault="00775A5D" w:rsidP="00775A5D">
      <w:pPr>
        <w:spacing w:before="120" w:after="120"/>
        <w:rPr>
          <w:color w:val="auto"/>
          <w:lang w:val="nl-NL"/>
        </w:rPr>
      </w:pPr>
      <w:r w:rsidRPr="00D80CA3">
        <w:rPr>
          <w:color w:val="auto"/>
          <w:lang w:val="nl-NL"/>
        </w:rPr>
        <w:tab/>
        <w:t>- Nội dung của dự thảo Nghị quyết đúng với quy định của Luật Ngân sách Nhà nước.</w:t>
      </w:r>
    </w:p>
    <w:p w:rsidR="00775A5D" w:rsidRPr="00D80CA3" w:rsidRDefault="00775A5D" w:rsidP="00775A5D">
      <w:pPr>
        <w:spacing w:before="120" w:after="120"/>
        <w:rPr>
          <w:color w:val="auto"/>
          <w:lang w:val="nl-NL"/>
        </w:rPr>
      </w:pPr>
      <w:r w:rsidRPr="00D80CA3">
        <w:rPr>
          <w:color w:val="auto"/>
          <w:lang w:val="nl-NL"/>
        </w:rPr>
        <w:tab/>
        <w:t xml:space="preserve">Ban Kinh tế - Xã hội thống nhất và </w:t>
      </w:r>
      <w:r w:rsidRPr="00D80CA3">
        <w:rPr>
          <w:color w:val="auto"/>
          <w:lang w:val="vi-VN"/>
        </w:rPr>
        <w:t>k</w:t>
      </w:r>
      <w:r w:rsidRPr="00D80CA3">
        <w:rPr>
          <w:color w:val="auto"/>
          <w:lang w:val="nl-NL"/>
        </w:rPr>
        <w:t>ính trình Hội đồng nhân dân huyện khóa X, kỳ họp thứ 02 xem xét, quyết định./.</w:t>
      </w:r>
    </w:p>
    <w:p w:rsidR="00775A5D" w:rsidRPr="00D80CA3" w:rsidRDefault="00775A5D" w:rsidP="00775A5D">
      <w:pPr>
        <w:spacing w:before="120" w:after="120"/>
        <w:rPr>
          <w:color w:val="auto"/>
          <w:lang w:val="nl-NL"/>
        </w:rPr>
      </w:pPr>
    </w:p>
    <w:tbl>
      <w:tblPr>
        <w:tblW w:w="4905" w:type="pct"/>
        <w:tblInd w:w="108" w:type="dxa"/>
        <w:tblLook w:val="01E0"/>
      </w:tblPr>
      <w:tblGrid>
        <w:gridCol w:w="4325"/>
        <w:gridCol w:w="5064"/>
      </w:tblGrid>
      <w:tr w:rsidR="00775A5D" w:rsidRPr="00D80CA3" w:rsidTr="00787582">
        <w:trPr>
          <w:trHeight w:val="2408"/>
        </w:trPr>
        <w:tc>
          <w:tcPr>
            <w:tcW w:w="2303" w:type="pct"/>
            <w:shd w:val="clear" w:color="auto" w:fill="auto"/>
          </w:tcPr>
          <w:p w:rsidR="00775A5D" w:rsidRPr="00D80CA3" w:rsidRDefault="00775A5D" w:rsidP="00787582">
            <w:pPr>
              <w:spacing w:before="60"/>
              <w:rPr>
                <w:b/>
                <w:i/>
                <w:color w:val="auto"/>
                <w:sz w:val="22"/>
                <w:lang w:val="nl-NL"/>
              </w:rPr>
            </w:pPr>
            <w:r w:rsidRPr="00D80CA3">
              <w:rPr>
                <w:b/>
                <w:i/>
                <w:color w:val="auto"/>
                <w:sz w:val="22"/>
                <w:lang w:val="nl-NL"/>
              </w:rPr>
              <w:t>Nơi nhận:</w:t>
            </w:r>
          </w:p>
          <w:p w:rsidR="00775A5D" w:rsidRPr="00D80CA3" w:rsidRDefault="00775A5D" w:rsidP="00787582">
            <w:pPr>
              <w:rPr>
                <w:color w:val="auto"/>
                <w:sz w:val="20"/>
                <w:lang w:val="nl-NL"/>
              </w:rPr>
            </w:pPr>
            <w:r w:rsidRPr="00D80CA3">
              <w:rPr>
                <w:color w:val="auto"/>
                <w:sz w:val="20"/>
                <w:lang w:val="nl-NL"/>
              </w:rPr>
              <w:t>- Thường trực HĐND huyện;</w:t>
            </w:r>
          </w:p>
          <w:p w:rsidR="00775A5D" w:rsidRPr="00D80CA3" w:rsidRDefault="00775A5D" w:rsidP="00787582">
            <w:pPr>
              <w:ind w:right="-118"/>
              <w:rPr>
                <w:color w:val="auto"/>
                <w:sz w:val="20"/>
                <w:lang w:val="nl-NL"/>
              </w:rPr>
            </w:pPr>
            <w:r w:rsidRPr="00D80CA3">
              <w:rPr>
                <w:color w:val="auto"/>
                <w:sz w:val="20"/>
                <w:lang w:val="nl-NL"/>
              </w:rPr>
              <w:t>- Đại biểu HĐND huyện;</w:t>
            </w:r>
          </w:p>
          <w:p w:rsidR="00775A5D" w:rsidRPr="00D80CA3" w:rsidRDefault="00775A5D" w:rsidP="00787582">
            <w:pPr>
              <w:rPr>
                <w:color w:val="auto"/>
                <w:lang w:val="nl-NL"/>
              </w:rPr>
            </w:pPr>
            <w:r w:rsidRPr="00D80CA3">
              <w:rPr>
                <w:color w:val="auto"/>
                <w:sz w:val="20"/>
                <w:lang w:val="nl-NL"/>
              </w:rPr>
              <w:t>- Lưu: VT, KT-XH(L).</w:t>
            </w:r>
          </w:p>
        </w:tc>
        <w:tc>
          <w:tcPr>
            <w:tcW w:w="2697" w:type="pct"/>
            <w:shd w:val="clear" w:color="auto" w:fill="auto"/>
          </w:tcPr>
          <w:p w:rsidR="00775A5D" w:rsidRPr="00D80CA3" w:rsidRDefault="00775A5D" w:rsidP="00787582">
            <w:pPr>
              <w:spacing w:before="60"/>
              <w:ind w:right="-94" w:hanging="114"/>
              <w:jc w:val="center"/>
              <w:rPr>
                <w:b/>
                <w:color w:val="auto"/>
                <w:lang w:val="nl-NL"/>
              </w:rPr>
            </w:pPr>
            <w:r w:rsidRPr="00D80CA3">
              <w:rPr>
                <w:b/>
                <w:color w:val="auto"/>
                <w:lang w:val="nl-NL"/>
              </w:rPr>
              <w:t xml:space="preserve">TM. BAN KINH TẾ </w:t>
            </w:r>
            <w:r w:rsidRPr="00D80CA3">
              <w:rPr>
                <w:color w:val="auto"/>
                <w:lang w:val="nl-NL"/>
              </w:rPr>
              <w:t>-</w:t>
            </w:r>
            <w:r w:rsidRPr="00D80CA3">
              <w:rPr>
                <w:b/>
                <w:color w:val="auto"/>
                <w:lang w:val="nl-NL"/>
              </w:rPr>
              <w:t xml:space="preserve"> XÃ HỘI</w:t>
            </w:r>
          </w:p>
          <w:p w:rsidR="00775A5D" w:rsidRPr="00D80CA3" w:rsidRDefault="00775A5D" w:rsidP="00787582">
            <w:pPr>
              <w:jc w:val="center"/>
              <w:rPr>
                <w:b/>
                <w:color w:val="auto"/>
              </w:rPr>
            </w:pPr>
            <w:r w:rsidRPr="00D80CA3">
              <w:rPr>
                <w:b/>
                <w:color w:val="auto"/>
              </w:rPr>
              <w:t>TRƯỞNG BAN</w:t>
            </w:r>
          </w:p>
          <w:p w:rsidR="00775A5D" w:rsidRPr="00D80CA3" w:rsidRDefault="00775A5D" w:rsidP="00787582">
            <w:pPr>
              <w:jc w:val="center"/>
              <w:rPr>
                <w:b/>
                <w:color w:val="auto"/>
              </w:rPr>
            </w:pPr>
            <w:r w:rsidRPr="00D80CA3">
              <w:rPr>
                <w:b/>
                <w:color w:val="auto"/>
              </w:rPr>
              <w:t>(Đã ký)</w:t>
            </w:r>
          </w:p>
          <w:p w:rsidR="00775A5D" w:rsidRPr="00D80CA3" w:rsidRDefault="00775A5D" w:rsidP="00787582">
            <w:pPr>
              <w:jc w:val="center"/>
              <w:rPr>
                <w:b/>
                <w:color w:val="auto"/>
              </w:rPr>
            </w:pPr>
          </w:p>
          <w:p w:rsidR="00775A5D" w:rsidRPr="00D80CA3" w:rsidRDefault="00775A5D" w:rsidP="00787582">
            <w:pPr>
              <w:jc w:val="center"/>
              <w:rPr>
                <w:b/>
                <w:color w:val="auto"/>
              </w:rPr>
            </w:pPr>
            <w:r w:rsidRPr="00D80CA3">
              <w:rPr>
                <w:b/>
                <w:color w:val="auto"/>
              </w:rPr>
              <w:t>Nguyễn Viết Hùng</w:t>
            </w:r>
          </w:p>
          <w:p w:rsidR="00775A5D" w:rsidRPr="00D80CA3" w:rsidRDefault="00775A5D" w:rsidP="00787582">
            <w:pPr>
              <w:jc w:val="center"/>
              <w:rPr>
                <w:b/>
                <w:color w:val="auto"/>
              </w:rPr>
            </w:pPr>
          </w:p>
          <w:p w:rsidR="00775A5D" w:rsidRPr="00D80CA3" w:rsidRDefault="00775A5D" w:rsidP="00787582">
            <w:pPr>
              <w:spacing w:before="40"/>
              <w:jc w:val="center"/>
              <w:rPr>
                <w:b/>
                <w:color w:val="auto"/>
              </w:rPr>
            </w:pPr>
          </w:p>
        </w:tc>
      </w:tr>
    </w:tbl>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775A5D" w:rsidRPr="00D80CA3" w:rsidRDefault="00775A5D" w:rsidP="00775A5D">
      <w:pPr>
        <w:spacing w:before="120"/>
        <w:ind w:firstLine="720"/>
        <w:rPr>
          <w:color w:val="auto"/>
          <w:sz w:val="2"/>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1F1" w:rsidRDefault="002621F1" w:rsidP="00775A5D">
      <w:r>
        <w:separator/>
      </w:r>
    </w:p>
  </w:endnote>
  <w:endnote w:type="continuationSeparator" w:id="1">
    <w:p w:rsidR="002621F1" w:rsidRDefault="002621F1" w:rsidP="00775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1F1" w:rsidRDefault="002621F1" w:rsidP="00775A5D">
      <w:r>
        <w:separator/>
      </w:r>
    </w:p>
  </w:footnote>
  <w:footnote w:type="continuationSeparator" w:id="1">
    <w:p w:rsidR="002621F1" w:rsidRDefault="002621F1" w:rsidP="00775A5D">
      <w:r>
        <w:continuationSeparator/>
      </w:r>
    </w:p>
  </w:footnote>
  <w:footnote w:id="2">
    <w:p w:rsidR="00775A5D" w:rsidRPr="00965B46" w:rsidRDefault="00775A5D" w:rsidP="000C17A8">
      <w:pPr>
        <w:pStyle w:val="FootnoteText"/>
        <w:ind w:firstLine="567"/>
        <w:jc w:val="both"/>
      </w:pPr>
      <w:r w:rsidRPr="004C3169">
        <w:rPr>
          <w:vertAlign w:val="superscript"/>
        </w:rPr>
        <w:t>(</w:t>
      </w:r>
      <w:r w:rsidRPr="004C3169">
        <w:rPr>
          <w:rStyle w:val="FootnoteReference"/>
        </w:rPr>
        <w:footnoteRef/>
      </w:r>
      <w:r w:rsidRPr="004C3169">
        <w:rPr>
          <w:vertAlign w:val="superscript"/>
        </w:rPr>
        <w:t>)</w:t>
      </w:r>
      <w:r w:rsidRPr="00965B46">
        <w:t xml:space="preserve"> Nợ đọng thuế đến 31/12/2015 là 5.884 tr.đồng, trong đó nợ khó thu là 1.216 triệu đồng.</w:t>
      </w:r>
    </w:p>
  </w:footnote>
  <w:footnote w:id="3">
    <w:p w:rsidR="00775A5D" w:rsidRPr="00965B46" w:rsidRDefault="00775A5D" w:rsidP="000C17A8">
      <w:pPr>
        <w:pStyle w:val="FootnoteText"/>
        <w:ind w:firstLine="567"/>
        <w:jc w:val="both"/>
      </w:pPr>
      <w:r w:rsidRPr="004C3169">
        <w:rPr>
          <w:vertAlign w:val="superscript"/>
        </w:rPr>
        <w:t>(</w:t>
      </w:r>
      <w:r w:rsidRPr="004C3169">
        <w:rPr>
          <w:rStyle w:val="FootnoteReference"/>
        </w:rPr>
        <w:footnoteRef/>
      </w:r>
      <w:r w:rsidRPr="004C3169">
        <w:rPr>
          <w:vertAlign w:val="superscript"/>
        </w:rPr>
        <w:t>)</w:t>
      </w:r>
      <w:r w:rsidRPr="00965B46">
        <w:t xml:space="preserve"> Đến thời điểm </w:t>
      </w:r>
      <w:r>
        <w:t>30/6/2016 số thuế nợ</w:t>
      </w:r>
      <w:r w:rsidRPr="00965B46">
        <w:t xml:space="preserve"> đọng lên đến 8.440 triệu đồng, trong đó nợ khó thu là 2.002 triệu đồng.</w:t>
      </w:r>
    </w:p>
  </w:footnote>
  <w:footnote w:id="4">
    <w:p w:rsidR="00775A5D" w:rsidRPr="00965B46" w:rsidRDefault="00775A5D" w:rsidP="000C17A8">
      <w:pPr>
        <w:pStyle w:val="FootnoteText"/>
        <w:ind w:firstLine="567"/>
        <w:jc w:val="both"/>
      </w:pPr>
      <w:r w:rsidRPr="004C3169">
        <w:rPr>
          <w:vertAlign w:val="superscript"/>
        </w:rPr>
        <w:t>(</w:t>
      </w:r>
      <w:r w:rsidRPr="004C3169">
        <w:rPr>
          <w:rStyle w:val="FootnoteReference"/>
        </w:rPr>
        <w:footnoteRef/>
      </w:r>
      <w:r w:rsidRPr="004C3169">
        <w:rPr>
          <w:vertAlign w:val="superscript"/>
        </w:rPr>
        <w:t>)</w:t>
      </w:r>
      <w:r w:rsidRPr="00965B46">
        <w:t xml:space="preserve"> Trong đó: Chi chuyển nguồn </w:t>
      </w:r>
      <w:r>
        <w:t>36.876 triệu</w:t>
      </w:r>
      <w:r w:rsidRPr="00965B46">
        <w:t xml:space="preserve"> đ</w:t>
      </w:r>
      <w:r>
        <w:t>ồng</w:t>
      </w:r>
      <w:r w:rsidRPr="00965B46">
        <w:t xml:space="preserve">; vốn vay KCH KM </w:t>
      </w:r>
      <w:r>
        <w:t>5.440 triệu đồng</w:t>
      </w:r>
      <w:r w:rsidRPr="00965B46">
        <w:t>; Chi đầu tư phát triển vượt 30.923 triệu đồng...</w:t>
      </w:r>
    </w:p>
  </w:footnote>
  <w:footnote w:id="5">
    <w:p w:rsidR="00775A5D" w:rsidRDefault="00775A5D" w:rsidP="000C17A8">
      <w:pPr>
        <w:pStyle w:val="FootnoteText"/>
        <w:ind w:firstLine="567"/>
        <w:jc w:val="both"/>
      </w:pPr>
      <w:r w:rsidRPr="004C3169">
        <w:rPr>
          <w:vertAlign w:val="superscript"/>
        </w:rPr>
        <w:t>(</w:t>
      </w:r>
      <w:r w:rsidRPr="004C3169">
        <w:rPr>
          <w:rStyle w:val="FootnoteReference"/>
        </w:rPr>
        <w:footnoteRef/>
      </w:r>
      <w:r w:rsidRPr="004C3169">
        <w:rPr>
          <w:vertAlign w:val="superscript"/>
        </w:rPr>
        <w:t>)</w:t>
      </w:r>
      <w:r>
        <w:t xml:space="preserve"> </w:t>
      </w:r>
      <w:r w:rsidRPr="00377B1C">
        <w:t xml:space="preserve">Nợ </w:t>
      </w:r>
      <w:r>
        <w:t>đọng XDCB</w:t>
      </w:r>
      <w:r w:rsidRPr="00377B1C">
        <w:t xml:space="preserve"> đến 31/12/201</w:t>
      </w:r>
      <w:r>
        <w:t>5</w:t>
      </w:r>
      <w:r w:rsidRPr="00377B1C">
        <w:t xml:space="preserve"> là </w:t>
      </w:r>
      <w:r>
        <w:t>26.925,86 triệu đồng (chủ yếu nợ từ các năm 2014 trở về trước chuyển qua).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08E8"/>
    <w:multiLevelType w:val="multilevel"/>
    <w:tmpl w:val="C5FE420A"/>
    <w:lvl w:ilvl="0">
      <w:start w:val="467"/>
      <w:numFmt w:val="decimal"/>
      <w:lvlText w:val="%1"/>
      <w:lvlJc w:val="left"/>
      <w:pPr>
        <w:ind w:left="1440" w:hanging="1440"/>
      </w:pPr>
      <w:rPr>
        <w:rFonts w:hint="default"/>
      </w:rPr>
    </w:lvl>
    <w:lvl w:ilvl="1">
      <w:start w:val="619"/>
      <w:numFmt w:val="decimal"/>
      <w:lvlText w:val="%1.%2"/>
      <w:lvlJc w:val="left"/>
      <w:pPr>
        <w:ind w:left="1719" w:hanging="1440"/>
      </w:pPr>
      <w:rPr>
        <w:rFonts w:hint="default"/>
      </w:rPr>
    </w:lvl>
    <w:lvl w:ilvl="2">
      <w:start w:val="784"/>
      <w:numFmt w:val="decimal"/>
      <w:lvlText w:val="%1.%2.%3"/>
      <w:lvlJc w:val="left"/>
      <w:pPr>
        <w:ind w:left="1998" w:hanging="1440"/>
      </w:pPr>
      <w:rPr>
        <w:rFonts w:hint="default"/>
      </w:rPr>
    </w:lvl>
    <w:lvl w:ilvl="3">
      <w:start w:val="1"/>
      <w:numFmt w:val="decimal"/>
      <w:lvlText w:val="%1.%2.%3.%4"/>
      <w:lvlJc w:val="left"/>
      <w:pPr>
        <w:ind w:left="2277" w:hanging="1440"/>
      </w:pPr>
      <w:rPr>
        <w:rFonts w:hint="default"/>
      </w:rPr>
    </w:lvl>
    <w:lvl w:ilvl="4">
      <w:start w:val="1"/>
      <w:numFmt w:val="decimal"/>
      <w:lvlText w:val="%1.%2.%3.%4.%5"/>
      <w:lvlJc w:val="left"/>
      <w:pPr>
        <w:ind w:left="2556" w:hanging="1440"/>
      </w:pPr>
      <w:rPr>
        <w:rFonts w:hint="default"/>
      </w:rPr>
    </w:lvl>
    <w:lvl w:ilvl="5">
      <w:start w:val="1"/>
      <w:numFmt w:val="decimal"/>
      <w:lvlText w:val="%1.%2.%3.%4.%5.%6"/>
      <w:lvlJc w:val="left"/>
      <w:pPr>
        <w:ind w:left="2835" w:hanging="1440"/>
      </w:pPr>
      <w:rPr>
        <w:rFonts w:hint="default"/>
      </w:rPr>
    </w:lvl>
    <w:lvl w:ilvl="6">
      <w:start w:val="1"/>
      <w:numFmt w:val="decimal"/>
      <w:lvlText w:val="%1.%2.%3.%4.%5.%6.%7"/>
      <w:lvlJc w:val="left"/>
      <w:pPr>
        <w:ind w:left="3114" w:hanging="1440"/>
      </w:pPr>
      <w:rPr>
        <w:rFonts w:hint="default"/>
      </w:rPr>
    </w:lvl>
    <w:lvl w:ilvl="7">
      <w:start w:val="1"/>
      <w:numFmt w:val="decimal"/>
      <w:lvlText w:val="%1.%2.%3.%4.%5.%6.%7.%8"/>
      <w:lvlJc w:val="left"/>
      <w:pPr>
        <w:ind w:left="3753" w:hanging="1800"/>
      </w:pPr>
      <w:rPr>
        <w:rFonts w:hint="default"/>
      </w:rPr>
    </w:lvl>
    <w:lvl w:ilvl="8">
      <w:start w:val="1"/>
      <w:numFmt w:val="decimal"/>
      <w:lvlText w:val="%1.%2.%3.%4.%5.%6.%7.%8.%9"/>
      <w:lvlJc w:val="left"/>
      <w:pPr>
        <w:ind w:left="4392" w:hanging="2160"/>
      </w:pPr>
      <w:rPr>
        <w:rFonts w:hint="default"/>
      </w:rPr>
    </w:lvl>
  </w:abstractNum>
  <w:abstractNum w:abstractNumId="1">
    <w:nsid w:val="1D8A6F01"/>
    <w:multiLevelType w:val="multilevel"/>
    <w:tmpl w:val="8206BCEA"/>
    <w:lvl w:ilvl="0">
      <w:start w:val="467"/>
      <w:numFmt w:val="decimal"/>
      <w:lvlText w:val="%1"/>
      <w:lvlJc w:val="left"/>
      <w:pPr>
        <w:ind w:left="1440" w:hanging="1440"/>
      </w:pPr>
      <w:rPr>
        <w:rFonts w:hint="default"/>
      </w:rPr>
    </w:lvl>
    <w:lvl w:ilvl="1">
      <w:start w:val="619"/>
      <w:numFmt w:val="decimal"/>
      <w:lvlText w:val="%1.%2"/>
      <w:lvlJc w:val="left"/>
      <w:pPr>
        <w:ind w:left="1461" w:hanging="1440"/>
      </w:pPr>
      <w:rPr>
        <w:rFonts w:hint="default"/>
      </w:rPr>
    </w:lvl>
    <w:lvl w:ilvl="2">
      <w:start w:val="784"/>
      <w:numFmt w:val="decimal"/>
      <w:lvlText w:val="%1.%2.%3"/>
      <w:lvlJc w:val="left"/>
      <w:pPr>
        <w:ind w:left="1482" w:hanging="1440"/>
      </w:pPr>
      <w:rPr>
        <w:rFonts w:hint="default"/>
      </w:rPr>
    </w:lvl>
    <w:lvl w:ilvl="3">
      <w:start w:val="1"/>
      <w:numFmt w:val="decimal"/>
      <w:lvlText w:val="%1.%2.%3.%4"/>
      <w:lvlJc w:val="left"/>
      <w:pPr>
        <w:ind w:left="1503" w:hanging="1440"/>
      </w:pPr>
      <w:rPr>
        <w:rFonts w:hint="default"/>
      </w:rPr>
    </w:lvl>
    <w:lvl w:ilvl="4">
      <w:start w:val="1"/>
      <w:numFmt w:val="decimal"/>
      <w:lvlText w:val="%1.%2.%3.%4.%5"/>
      <w:lvlJc w:val="left"/>
      <w:pPr>
        <w:ind w:left="1524"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566" w:hanging="1440"/>
      </w:pPr>
      <w:rPr>
        <w:rFonts w:hint="default"/>
      </w:rPr>
    </w:lvl>
    <w:lvl w:ilvl="7">
      <w:start w:val="1"/>
      <w:numFmt w:val="decimal"/>
      <w:lvlText w:val="%1.%2.%3.%4.%5.%6.%7.%8"/>
      <w:lvlJc w:val="left"/>
      <w:pPr>
        <w:ind w:left="1947" w:hanging="1800"/>
      </w:pPr>
      <w:rPr>
        <w:rFonts w:hint="default"/>
      </w:rPr>
    </w:lvl>
    <w:lvl w:ilvl="8">
      <w:start w:val="1"/>
      <w:numFmt w:val="decimal"/>
      <w:lvlText w:val="%1.%2.%3.%4.%5.%6.%7.%8.%9"/>
      <w:lvlJc w:val="left"/>
      <w:pPr>
        <w:ind w:left="2328" w:hanging="2160"/>
      </w:pPr>
      <w:rPr>
        <w:rFonts w:hint="default"/>
      </w:rPr>
    </w:lvl>
  </w:abstractNum>
  <w:abstractNum w:abstractNumId="2">
    <w:nsid w:val="2E5F2C09"/>
    <w:multiLevelType w:val="hybridMultilevel"/>
    <w:tmpl w:val="C460453C"/>
    <w:lvl w:ilvl="0" w:tplc="947CBEEC">
      <w:start w:val="1"/>
      <w:numFmt w:val="decimal"/>
      <w:lvlText w:val="%1."/>
      <w:lvlJc w:val="left"/>
      <w:pPr>
        <w:tabs>
          <w:tab w:val="num" w:pos="1080"/>
        </w:tabs>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3C891A0F"/>
    <w:multiLevelType w:val="multilevel"/>
    <w:tmpl w:val="EB46651A"/>
    <w:lvl w:ilvl="0">
      <w:start w:val="1"/>
      <w:numFmt w:val="upperRoman"/>
      <w:lvlText w:val="%1."/>
      <w:lvlJc w:val="left"/>
      <w:pPr>
        <w:ind w:left="1350" w:hanging="720"/>
      </w:pPr>
      <w:rPr>
        <w:rFonts w:hint="default"/>
      </w:rPr>
    </w:lvl>
    <w:lvl w:ilvl="1">
      <w:start w:val="1"/>
      <w:numFmt w:val="decimal"/>
      <w:isLgl/>
      <w:lvlText w:val="%1.%2."/>
      <w:lvlJc w:val="left"/>
      <w:pPr>
        <w:tabs>
          <w:tab w:val="num" w:pos="1635"/>
        </w:tabs>
        <w:ind w:left="1635" w:hanging="720"/>
      </w:pPr>
      <w:rPr>
        <w:rFonts w:hint="default"/>
      </w:rPr>
    </w:lvl>
    <w:lvl w:ilvl="2">
      <w:start w:val="1"/>
      <w:numFmt w:val="decimalZero"/>
      <w:isLgl/>
      <w:lvlText w:val="%1.%2.%3."/>
      <w:lvlJc w:val="left"/>
      <w:pPr>
        <w:tabs>
          <w:tab w:val="num" w:pos="1920"/>
        </w:tabs>
        <w:ind w:left="1920" w:hanging="720"/>
      </w:pPr>
      <w:rPr>
        <w:rFonts w:hint="default"/>
      </w:rPr>
    </w:lvl>
    <w:lvl w:ilvl="3">
      <w:start w:val="1"/>
      <w:numFmt w:val="decimal"/>
      <w:isLgl/>
      <w:lvlText w:val="%1.%2.%3.%4."/>
      <w:lvlJc w:val="left"/>
      <w:pPr>
        <w:tabs>
          <w:tab w:val="num" w:pos="2565"/>
        </w:tabs>
        <w:ind w:left="2565" w:hanging="1080"/>
      </w:pPr>
      <w:rPr>
        <w:rFonts w:hint="default"/>
      </w:rPr>
    </w:lvl>
    <w:lvl w:ilvl="4">
      <w:start w:val="1"/>
      <w:numFmt w:val="decimal"/>
      <w:isLgl/>
      <w:lvlText w:val="%1.%2.%3.%4.%5."/>
      <w:lvlJc w:val="left"/>
      <w:pPr>
        <w:tabs>
          <w:tab w:val="num" w:pos="2850"/>
        </w:tabs>
        <w:ind w:left="2850" w:hanging="1080"/>
      </w:pPr>
      <w:rPr>
        <w:rFonts w:hint="default"/>
      </w:rPr>
    </w:lvl>
    <w:lvl w:ilvl="5">
      <w:start w:val="1"/>
      <w:numFmt w:val="decimal"/>
      <w:isLgl/>
      <w:lvlText w:val="%1.%2.%3.%4.%5.%6."/>
      <w:lvlJc w:val="left"/>
      <w:pPr>
        <w:tabs>
          <w:tab w:val="num" w:pos="3495"/>
        </w:tabs>
        <w:ind w:left="3495"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425"/>
        </w:tabs>
        <w:ind w:left="4425" w:hanging="1800"/>
      </w:pPr>
      <w:rPr>
        <w:rFonts w:hint="default"/>
      </w:rPr>
    </w:lvl>
    <w:lvl w:ilvl="8">
      <w:start w:val="1"/>
      <w:numFmt w:val="decimal"/>
      <w:isLgl/>
      <w:lvlText w:val="%1.%2.%3.%4.%5.%6.%7.%8.%9."/>
      <w:lvlJc w:val="left"/>
      <w:pPr>
        <w:tabs>
          <w:tab w:val="num" w:pos="5070"/>
        </w:tabs>
        <w:ind w:left="5070" w:hanging="2160"/>
      </w:pPr>
      <w:rPr>
        <w:rFonts w:hint="default"/>
      </w:rPr>
    </w:lvl>
  </w:abstractNum>
  <w:abstractNum w:abstractNumId="4">
    <w:nsid w:val="5A34474C"/>
    <w:multiLevelType w:val="multilevel"/>
    <w:tmpl w:val="EA241D2E"/>
    <w:lvl w:ilvl="0">
      <w:start w:val="339"/>
      <w:numFmt w:val="decimal"/>
      <w:lvlText w:val="%1"/>
      <w:lvlJc w:val="left"/>
      <w:pPr>
        <w:ind w:left="1935" w:hanging="1935"/>
      </w:pPr>
      <w:rPr>
        <w:rFonts w:hint="default"/>
        <w:b/>
      </w:rPr>
    </w:lvl>
    <w:lvl w:ilvl="1">
      <w:start w:val="395"/>
      <w:numFmt w:val="decimal"/>
      <w:lvlText w:val="%1.%2"/>
      <w:lvlJc w:val="left"/>
      <w:pPr>
        <w:ind w:left="1974" w:hanging="1935"/>
      </w:pPr>
      <w:rPr>
        <w:rFonts w:hint="default"/>
        <w:b/>
      </w:rPr>
    </w:lvl>
    <w:lvl w:ilvl="2">
      <w:start w:val="770"/>
      <w:numFmt w:val="decimal"/>
      <w:lvlText w:val="%1.%2.%3"/>
      <w:lvlJc w:val="left"/>
      <w:pPr>
        <w:ind w:left="2013" w:hanging="1935"/>
      </w:pPr>
      <w:rPr>
        <w:rFonts w:hint="default"/>
        <w:b/>
      </w:rPr>
    </w:lvl>
    <w:lvl w:ilvl="3">
      <w:start w:val="448"/>
      <w:numFmt w:val="decimal"/>
      <w:lvlText w:val="%1.%2.%3.%4"/>
      <w:lvlJc w:val="left"/>
      <w:pPr>
        <w:ind w:left="2052" w:hanging="1935"/>
      </w:pPr>
      <w:rPr>
        <w:rFonts w:hint="default"/>
        <w:b/>
      </w:rPr>
    </w:lvl>
    <w:lvl w:ilvl="4">
      <w:start w:val="1"/>
      <w:numFmt w:val="decimal"/>
      <w:lvlText w:val="%1.%2.%3.%4.%5"/>
      <w:lvlJc w:val="left"/>
      <w:pPr>
        <w:ind w:left="2091" w:hanging="1935"/>
      </w:pPr>
      <w:rPr>
        <w:rFonts w:hint="default"/>
        <w:b/>
      </w:rPr>
    </w:lvl>
    <w:lvl w:ilvl="5">
      <w:start w:val="1"/>
      <w:numFmt w:val="decimal"/>
      <w:lvlText w:val="%1.%2.%3.%4.%5.%6"/>
      <w:lvlJc w:val="left"/>
      <w:pPr>
        <w:ind w:left="2130" w:hanging="1935"/>
      </w:pPr>
      <w:rPr>
        <w:rFonts w:hint="default"/>
        <w:b/>
      </w:rPr>
    </w:lvl>
    <w:lvl w:ilvl="6">
      <w:start w:val="1"/>
      <w:numFmt w:val="decimal"/>
      <w:lvlText w:val="%1.%2.%3.%4.%5.%6.%7"/>
      <w:lvlJc w:val="left"/>
      <w:pPr>
        <w:ind w:left="2169" w:hanging="1935"/>
      </w:pPr>
      <w:rPr>
        <w:rFonts w:hint="default"/>
        <w:b/>
      </w:rPr>
    </w:lvl>
    <w:lvl w:ilvl="7">
      <w:start w:val="1"/>
      <w:numFmt w:val="decimal"/>
      <w:lvlText w:val="%1.%2.%3.%4.%5.%6.%7.%8"/>
      <w:lvlJc w:val="left"/>
      <w:pPr>
        <w:ind w:left="2208" w:hanging="1935"/>
      </w:pPr>
      <w:rPr>
        <w:rFonts w:hint="default"/>
        <w:b/>
      </w:rPr>
    </w:lvl>
    <w:lvl w:ilvl="8">
      <w:start w:val="1"/>
      <w:numFmt w:val="decimal"/>
      <w:lvlText w:val="%1.%2.%3.%4.%5.%6.%7.%8.%9"/>
      <w:lvlJc w:val="left"/>
      <w:pPr>
        <w:ind w:left="2472" w:hanging="2160"/>
      </w:pPr>
      <w:rPr>
        <w:rFonts w:hint="default"/>
        <w:b/>
      </w:rPr>
    </w:lvl>
  </w:abstractNum>
  <w:abstractNum w:abstractNumId="5">
    <w:nsid w:val="608057A6"/>
    <w:multiLevelType w:val="multilevel"/>
    <w:tmpl w:val="6EEE1234"/>
    <w:lvl w:ilvl="0">
      <w:start w:val="87"/>
      <w:numFmt w:val="decimal"/>
      <w:lvlText w:val="%1"/>
      <w:lvlJc w:val="left"/>
      <w:pPr>
        <w:ind w:left="1800" w:hanging="1800"/>
      </w:pPr>
      <w:rPr>
        <w:rFonts w:hint="default"/>
        <w:b/>
      </w:rPr>
    </w:lvl>
    <w:lvl w:ilvl="1">
      <w:start w:val="826"/>
      <w:numFmt w:val="decimal"/>
      <w:lvlText w:val="%1.%2"/>
      <w:lvlJc w:val="left"/>
      <w:pPr>
        <w:ind w:left="1814" w:hanging="1800"/>
      </w:pPr>
      <w:rPr>
        <w:rFonts w:hint="default"/>
        <w:b/>
      </w:rPr>
    </w:lvl>
    <w:lvl w:ilvl="2">
      <w:start w:val="591"/>
      <w:numFmt w:val="decimal"/>
      <w:lvlText w:val="%1.%2.%3"/>
      <w:lvlJc w:val="left"/>
      <w:pPr>
        <w:ind w:left="1828" w:hanging="1800"/>
      </w:pPr>
      <w:rPr>
        <w:rFonts w:hint="default"/>
        <w:b/>
      </w:rPr>
    </w:lvl>
    <w:lvl w:ilvl="3">
      <w:start w:val="672"/>
      <w:numFmt w:val="decimal"/>
      <w:lvlText w:val="%1.%2.%3.%4"/>
      <w:lvlJc w:val="left"/>
      <w:pPr>
        <w:ind w:left="1800" w:hanging="1800"/>
      </w:pPr>
      <w:rPr>
        <w:rFonts w:hint="default"/>
        <w:b/>
      </w:rPr>
    </w:lvl>
    <w:lvl w:ilvl="4">
      <w:start w:val="1"/>
      <w:numFmt w:val="decimal"/>
      <w:lvlText w:val="%1.%2.%3.%4.%5"/>
      <w:lvlJc w:val="left"/>
      <w:pPr>
        <w:ind w:left="1856" w:hanging="1800"/>
      </w:pPr>
      <w:rPr>
        <w:rFonts w:hint="default"/>
        <w:b/>
      </w:rPr>
    </w:lvl>
    <w:lvl w:ilvl="5">
      <w:start w:val="1"/>
      <w:numFmt w:val="decimal"/>
      <w:lvlText w:val="%1.%2.%3.%4.%5.%6"/>
      <w:lvlJc w:val="left"/>
      <w:pPr>
        <w:ind w:left="1870" w:hanging="1800"/>
      </w:pPr>
      <w:rPr>
        <w:rFonts w:hint="default"/>
        <w:b/>
      </w:rPr>
    </w:lvl>
    <w:lvl w:ilvl="6">
      <w:start w:val="1"/>
      <w:numFmt w:val="decimal"/>
      <w:lvlText w:val="%1.%2.%3.%4.%5.%6.%7"/>
      <w:lvlJc w:val="left"/>
      <w:pPr>
        <w:ind w:left="1884" w:hanging="1800"/>
      </w:pPr>
      <w:rPr>
        <w:rFonts w:hint="default"/>
        <w:b/>
      </w:rPr>
    </w:lvl>
    <w:lvl w:ilvl="7">
      <w:start w:val="1"/>
      <w:numFmt w:val="decimal"/>
      <w:lvlText w:val="%1.%2.%3.%4.%5.%6.%7.%8"/>
      <w:lvlJc w:val="left"/>
      <w:pPr>
        <w:ind w:left="1898" w:hanging="1800"/>
      </w:pPr>
      <w:rPr>
        <w:rFonts w:hint="default"/>
        <w:b/>
      </w:rPr>
    </w:lvl>
    <w:lvl w:ilvl="8">
      <w:start w:val="1"/>
      <w:numFmt w:val="decimal"/>
      <w:lvlText w:val="%1.%2.%3.%4.%5.%6.%7.%8.%9"/>
      <w:lvlJc w:val="left"/>
      <w:pPr>
        <w:ind w:left="2272" w:hanging="2160"/>
      </w:pPr>
      <w:rPr>
        <w:rFonts w:hint="default"/>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75A5D"/>
    <w:rsid w:val="000C17A8"/>
    <w:rsid w:val="002621F1"/>
    <w:rsid w:val="00775A5D"/>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5D"/>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775A5D"/>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A5D"/>
    <w:rPr>
      <w:rFonts w:ascii="Times New Roman" w:eastAsia="Times New Roman" w:hAnsi="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775A5D"/>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775A5D"/>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775A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2018-05-10T07:12:00Z</dcterms:created>
  <dcterms:modified xsi:type="dcterms:W3CDTF">2018-05-10T07:13:00Z</dcterms:modified>
</cp:coreProperties>
</file>