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445"/>
      </w:tblGrid>
      <w:tr w:rsidR="00340710" w:rsidTr="00A0534C">
        <w:trPr>
          <w:trHeight w:val="1074"/>
        </w:trPr>
        <w:tc>
          <w:tcPr>
            <w:tcW w:w="3261" w:type="dxa"/>
          </w:tcPr>
          <w:p w:rsidR="00340710" w:rsidRPr="00F113D2" w:rsidRDefault="00340710" w:rsidP="00A0534C">
            <w:pPr>
              <w:keepNext/>
              <w:keepLines/>
              <w:jc w:val="center"/>
              <w:rPr>
                <w:color w:val="auto"/>
                <w:sz w:val="26"/>
                <w:szCs w:val="26"/>
              </w:rPr>
            </w:pPr>
            <w:r w:rsidRPr="00F113D2">
              <w:rPr>
                <w:color w:val="auto"/>
                <w:sz w:val="26"/>
                <w:szCs w:val="26"/>
              </w:rPr>
              <w:t>TAND TỈNH KON TUM</w:t>
            </w:r>
          </w:p>
          <w:p w:rsidR="00340710" w:rsidRPr="00DF24B4" w:rsidRDefault="00340710" w:rsidP="00A0534C">
            <w:pPr>
              <w:keepNext/>
              <w:keepLines/>
              <w:jc w:val="center"/>
              <w:rPr>
                <w:b/>
                <w:color w:val="auto"/>
                <w:sz w:val="26"/>
                <w:szCs w:val="26"/>
              </w:rPr>
            </w:pPr>
            <w:r w:rsidRPr="00DF24B4">
              <w:rPr>
                <w:b/>
                <w:color w:val="auto"/>
                <w:sz w:val="26"/>
                <w:szCs w:val="26"/>
              </w:rPr>
              <w:t>TÒA ÁN NHÂN DÂN</w:t>
            </w:r>
          </w:p>
          <w:p w:rsidR="00340710" w:rsidRPr="00DF24B4" w:rsidRDefault="00340710" w:rsidP="00A0534C">
            <w:pPr>
              <w:keepNext/>
              <w:keepLines/>
              <w:jc w:val="center"/>
              <w:rPr>
                <w:b/>
                <w:color w:val="auto"/>
                <w:sz w:val="26"/>
                <w:szCs w:val="26"/>
              </w:rPr>
            </w:pPr>
            <w:r w:rsidRPr="00DF24B4">
              <w:rPr>
                <w:b/>
                <w:color w:val="auto"/>
                <w:sz w:val="26"/>
                <w:szCs w:val="26"/>
              </w:rPr>
              <w:t>HUYỆN SA THẦY</w:t>
            </w:r>
          </w:p>
          <w:p w:rsidR="00340710" w:rsidRDefault="00340710" w:rsidP="00A0534C">
            <w:pPr>
              <w:keepNext/>
              <w:keepLines/>
              <w:jc w:val="center"/>
              <w:rPr>
                <w:b/>
                <w:sz w:val="26"/>
                <w:szCs w:val="26"/>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48.2pt;margin-top:2.6pt;width:34pt;height:0;z-index:251662336" o:connectortype="straight"/>
              </w:pict>
            </w:r>
          </w:p>
        </w:tc>
        <w:tc>
          <w:tcPr>
            <w:tcW w:w="6445" w:type="dxa"/>
          </w:tcPr>
          <w:p w:rsidR="00340710" w:rsidRPr="00DF24B4" w:rsidRDefault="00340710" w:rsidP="00A0534C">
            <w:pPr>
              <w:jc w:val="center"/>
              <w:rPr>
                <w:b/>
                <w:color w:val="auto"/>
                <w:sz w:val="26"/>
                <w:szCs w:val="26"/>
                <w:lang w:val="pt-BR"/>
              </w:rPr>
            </w:pPr>
            <w:r w:rsidRPr="00DF24B4">
              <w:rPr>
                <w:b/>
                <w:color w:val="auto"/>
                <w:sz w:val="26"/>
                <w:szCs w:val="26"/>
                <w:lang w:val="pt-BR"/>
              </w:rPr>
              <w:t>CỘNG HÒA XÃ HỘI CHỦ NGHĨA VIỆT NAM</w:t>
            </w:r>
          </w:p>
          <w:p w:rsidR="00340710" w:rsidRPr="00297160" w:rsidRDefault="00340710" w:rsidP="00A0534C">
            <w:pPr>
              <w:jc w:val="center"/>
              <w:rPr>
                <w:b/>
                <w:color w:val="auto"/>
                <w:szCs w:val="28"/>
                <w:lang w:val="pt-BR"/>
              </w:rPr>
            </w:pPr>
            <w:r w:rsidRPr="00297160">
              <w:rPr>
                <w:b/>
                <w:color w:val="auto"/>
                <w:szCs w:val="28"/>
                <w:lang w:val="pt-BR"/>
              </w:rPr>
              <w:t xml:space="preserve">Độc </w:t>
            </w:r>
            <w:r>
              <w:rPr>
                <w:b/>
                <w:color w:val="auto"/>
                <w:szCs w:val="28"/>
                <w:lang w:val="pt-BR"/>
              </w:rPr>
              <w:t>l</w:t>
            </w:r>
            <w:r w:rsidRPr="00297160">
              <w:rPr>
                <w:b/>
                <w:color w:val="auto"/>
                <w:szCs w:val="28"/>
                <w:lang w:val="pt-BR"/>
              </w:rPr>
              <w:t>ập - Tự do - Hạnh phúc</w:t>
            </w:r>
          </w:p>
          <w:p w:rsidR="00340710" w:rsidRPr="00297160" w:rsidRDefault="00340710" w:rsidP="00A0534C">
            <w:pPr>
              <w:jc w:val="center"/>
              <w:rPr>
                <w:b/>
                <w:color w:val="auto"/>
                <w:szCs w:val="28"/>
                <w:lang w:val="pt-BR"/>
              </w:rPr>
            </w:pPr>
            <w:r>
              <w:rPr>
                <w:b/>
                <w:noProof/>
                <w:color w:val="auto"/>
                <w:szCs w:val="28"/>
              </w:rPr>
              <w:pict>
                <v:shape id="_x0000_s1027" type="#_x0000_t32" style="position:absolute;left:0;text-align:left;margin-left:68.1pt;margin-top:1.95pt;width:166.45pt;height:0;z-index:251661312" o:connectortype="straight"/>
              </w:pict>
            </w:r>
          </w:p>
        </w:tc>
      </w:tr>
      <w:tr w:rsidR="00340710" w:rsidTr="00A0534C">
        <w:trPr>
          <w:trHeight w:val="354"/>
        </w:trPr>
        <w:tc>
          <w:tcPr>
            <w:tcW w:w="3261" w:type="dxa"/>
          </w:tcPr>
          <w:p w:rsidR="00340710" w:rsidRPr="00DF24B4" w:rsidRDefault="00340710" w:rsidP="00A0534C">
            <w:pPr>
              <w:keepNext/>
              <w:keepLines/>
              <w:jc w:val="center"/>
              <w:rPr>
                <w:color w:val="auto"/>
                <w:sz w:val="26"/>
                <w:szCs w:val="26"/>
              </w:rPr>
            </w:pPr>
            <w:r w:rsidRPr="00DF24B4">
              <w:rPr>
                <w:color w:val="auto"/>
                <w:sz w:val="26"/>
                <w:szCs w:val="26"/>
              </w:rPr>
              <w:t>Số: 133/BC-TA</w:t>
            </w:r>
          </w:p>
        </w:tc>
        <w:tc>
          <w:tcPr>
            <w:tcW w:w="6445" w:type="dxa"/>
          </w:tcPr>
          <w:p w:rsidR="00340710" w:rsidRPr="00297160" w:rsidRDefault="00340710" w:rsidP="00A0534C">
            <w:pPr>
              <w:jc w:val="center"/>
              <w:rPr>
                <w:b/>
                <w:color w:val="auto"/>
                <w:szCs w:val="28"/>
                <w:lang w:val="pt-BR"/>
              </w:rPr>
            </w:pPr>
            <w:r w:rsidRPr="00297160">
              <w:rPr>
                <w:i/>
                <w:color w:val="auto"/>
                <w:szCs w:val="28"/>
                <w:lang w:val="pt-BR"/>
              </w:rPr>
              <w:t xml:space="preserve">Sa Thầy, ngày </w:t>
            </w:r>
            <w:r>
              <w:rPr>
                <w:i/>
                <w:color w:val="auto"/>
                <w:szCs w:val="28"/>
                <w:lang w:val="pt-BR"/>
              </w:rPr>
              <w:t>15</w:t>
            </w:r>
            <w:r w:rsidRPr="00297160">
              <w:rPr>
                <w:i/>
                <w:color w:val="auto"/>
                <w:szCs w:val="28"/>
                <w:lang w:val="pt-BR"/>
              </w:rPr>
              <w:t xml:space="preserve"> tháng</w:t>
            </w:r>
            <w:r>
              <w:rPr>
                <w:i/>
                <w:color w:val="auto"/>
                <w:szCs w:val="28"/>
                <w:lang w:val="pt-BR"/>
              </w:rPr>
              <w:t xml:space="preserve"> 11 </w:t>
            </w:r>
            <w:r w:rsidRPr="00297160">
              <w:rPr>
                <w:i/>
                <w:color w:val="auto"/>
                <w:szCs w:val="28"/>
                <w:lang w:val="pt-BR"/>
              </w:rPr>
              <w:t>năm 2016</w:t>
            </w:r>
          </w:p>
        </w:tc>
      </w:tr>
    </w:tbl>
    <w:p w:rsidR="00340710" w:rsidRDefault="00340710" w:rsidP="00340710">
      <w:pPr>
        <w:keepNext/>
        <w:keepLines/>
        <w:rPr>
          <w:b/>
          <w:sz w:val="26"/>
          <w:szCs w:val="26"/>
        </w:rPr>
      </w:pPr>
    </w:p>
    <w:p w:rsidR="00340710" w:rsidRPr="009918B5" w:rsidRDefault="00340710" w:rsidP="00340710">
      <w:pPr>
        <w:keepNext/>
        <w:keepLines/>
        <w:jc w:val="center"/>
        <w:rPr>
          <w:b/>
          <w:color w:val="auto"/>
          <w:szCs w:val="28"/>
        </w:rPr>
      </w:pPr>
      <w:r w:rsidRPr="009918B5">
        <w:rPr>
          <w:b/>
          <w:color w:val="auto"/>
          <w:szCs w:val="28"/>
        </w:rPr>
        <w:t>BÁO CÁO</w:t>
      </w:r>
    </w:p>
    <w:p w:rsidR="00340710" w:rsidRPr="009918B5" w:rsidRDefault="00340710" w:rsidP="00340710">
      <w:pPr>
        <w:pStyle w:val="Vnbnnidung60"/>
        <w:shd w:val="clear" w:color="auto" w:fill="auto"/>
        <w:spacing w:before="0" w:after="0" w:line="240" w:lineRule="auto"/>
        <w:ind w:firstLine="0"/>
        <w:jc w:val="center"/>
        <w:rPr>
          <w:b/>
          <w:i w:val="0"/>
          <w:sz w:val="28"/>
          <w:szCs w:val="28"/>
        </w:rPr>
      </w:pPr>
      <w:r w:rsidRPr="009918B5">
        <w:rPr>
          <w:b/>
          <w:i w:val="0"/>
          <w:sz w:val="28"/>
          <w:szCs w:val="28"/>
        </w:rPr>
        <w:t>Kết quả công tác của Tòa án nhân dân huyện Sa Thầy năm 2016</w:t>
      </w:r>
    </w:p>
    <w:p w:rsidR="00340710" w:rsidRPr="009918B5" w:rsidRDefault="00340710" w:rsidP="00340710">
      <w:pPr>
        <w:pStyle w:val="Vnbnnidung60"/>
        <w:shd w:val="clear" w:color="auto" w:fill="auto"/>
        <w:spacing w:before="0" w:after="0" w:line="240" w:lineRule="auto"/>
        <w:ind w:firstLine="0"/>
        <w:jc w:val="center"/>
        <w:rPr>
          <w:b/>
          <w:i w:val="0"/>
          <w:sz w:val="28"/>
          <w:szCs w:val="28"/>
        </w:rPr>
      </w:pPr>
      <w:r w:rsidRPr="009918B5">
        <w:rPr>
          <w:b/>
          <w:i w:val="0"/>
          <w:sz w:val="28"/>
          <w:szCs w:val="28"/>
        </w:rPr>
        <w:t>và phương hướng, nhiệm vụ công tác năm 2017</w:t>
      </w:r>
    </w:p>
    <w:p w:rsidR="00340710" w:rsidRPr="009918B5" w:rsidRDefault="00340710" w:rsidP="00340710">
      <w:pPr>
        <w:pStyle w:val="Vnbnnidung60"/>
        <w:shd w:val="clear" w:color="auto" w:fill="auto"/>
        <w:spacing w:before="120" w:after="120" w:line="240" w:lineRule="auto"/>
        <w:ind w:firstLine="0"/>
        <w:rPr>
          <w:sz w:val="28"/>
          <w:szCs w:val="28"/>
        </w:rPr>
      </w:pPr>
      <w:r w:rsidRPr="009918B5">
        <w:rPr>
          <w:noProof/>
          <w:sz w:val="28"/>
          <w:szCs w:val="28"/>
        </w:rPr>
        <w:pict>
          <v:shape id="_x0000_s1026" type="#_x0000_t32" style="position:absolute;left:0;text-align:left;margin-left:206.15pt;margin-top:4.45pt;width:48.15pt;height:0;z-index:251660288" o:connectortype="straight"/>
        </w:pic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Thực hiện Thông báo số 16/TB-HĐND ngày 16/9/2016 của Thường trực Hội đồng nhân dân huyện Sa Thầy nội dung chương trình, thời gian và địa điểm tổ chức kỳ họp thứ ba, HĐND huyện khóa X, nhiệm kỳ 2016</w:t>
      </w:r>
      <w:r w:rsidRPr="009918B5">
        <w:rPr>
          <w:rStyle w:val="Ghichcuitrang910"/>
          <w:rFonts w:eastAsia="Arial Unicode MS"/>
          <w:sz w:val="28"/>
          <w:szCs w:val="28"/>
        </w:rPr>
        <w:t>-2</w:t>
      </w:r>
      <w:r w:rsidRPr="009918B5">
        <w:rPr>
          <w:rStyle w:val="Ghichcuitrang910"/>
          <w:rFonts w:eastAsia="Arial Unicode MS"/>
          <w:i w:val="0"/>
          <w:sz w:val="28"/>
          <w:szCs w:val="28"/>
        </w:rPr>
        <w:t>021</w:t>
      </w:r>
      <w:r w:rsidRPr="009918B5">
        <w:rPr>
          <w:sz w:val="28"/>
          <w:szCs w:val="28"/>
        </w:rPr>
        <w:t>,</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Toà án nhân dân huyện Sa Thầy báo cáo kết quả công tác năm 2016; phương hướng, nhiệm vụ công tác năm 2017 như sau:</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I. KẾT QUẢ CÔNG TÁC</w:t>
      </w:r>
    </w:p>
    <w:p w:rsidR="00340710" w:rsidRPr="009918B5" w:rsidRDefault="00340710" w:rsidP="00340710">
      <w:pPr>
        <w:pStyle w:val="Vnbnnidung60"/>
        <w:shd w:val="clear" w:color="auto" w:fill="auto"/>
        <w:tabs>
          <w:tab w:val="left" w:pos="380"/>
        </w:tabs>
        <w:spacing w:line="240" w:lineRule="auto"/>
        <w:ind w:firstLine="709"/>
        <w:rPr>
          <w:b/>
          <w:i w:val="0"/>
          <w:sz w:val="28"/>
          <w:szCs w:val="28"/>
        </w:rPr>
      </w:pPr>
      <w:r w:rsidRPr="009918B5">
        <w:rPr>
          <w:b/>
          <w:i w:val="0"/>
          <w:sz w:val="28"/>
          <w:szCs w:val="28"/>
        </w:rPr>
        <w:t>1. Công tác chỉ đạo, điều hành, tổ chức triển khai thực hiện nhiệm vụ, quyền hạn của cơ quan</w:t>
      </w:r>
    </w:p>
    <w:p w:rsidR="00340710" w:rsidRPr="009918B5" w:rsidRDefault="00340710" w:rsidP="00340710">
      <w:pPr>
        <w:pStyle w:val="Vnbnnidung100"/>
        <w:shd w:val="clear" w:color="auto" w:fill="auto"/>
        <w:spacing w:before="60" w:after="60" w:line="240" w:lineRule="auto"/>
        <w:ind w:firstLine="709"/>
        <w:rPr>
          <w:b w:val="0"/>
          <w:i w:val="0"/>
          <w:sz w:val="28"/>
          <w:szCs w:val="28"/>
        </w:rPr>
      </w:pPr>
      <w:r w:rsidRPr="009918B5">
        <w:rPr>
          <w:b w:val="0"/>
          <w:i w:val="0"/>
          <w:sz w:val="28"/>
          <w:szCs w:val="28"/>
        </w:rPr>
        <w:t>Được sự lãnh đạo, chỉ đạo của ngành dọc cấp trên, lãnh đạo đơn vị, cùng với sự nỗ lực, cố gắng trong công tác của toàn thể cán bộ công chức nên trong năm qua, đơn vị đã hoàn thành tốt nhiệm vụ được giao, giải quyết kịp thời các loại vụ án, góp phần ổn định an ninh chính trị tại địa phương.</w:t>
      </w:r>
    </w:p>
    <w:p w:rsidR="00340710" w:rsidRPr="009918B5" w:rsidRDefault="00340710" w:rsidP="00340710">
      <w:pPr>
        <w:pStyle w:val="Vnbnnidung100"/>
        <w:shd w:val="clear" w:color="auto" w:fill="auto"/>
        <w:spacing w:before="60" w:after="60" w:line="240" w:lineRule="auto"/>
        <w:ind w:firstLine="709"/>
        <w:rPr>
          <w:b w:val="0"/>
          <w:i w:val="0"/>
          <w:sz w:val="28"/>
          <w:szCs w:val="28"/>
        </w:rPr>
      </w:pPr>
      <w:r w:rsidRPr="009918B5">
        <w:rPr>
          <w:i w:val="0"/>
          <w:sz w:val="28"/>
          <w:szCs w:val="28"/>
        </w:rPr>
        <w:t>2. Công tác giải quyết, xét xử các loại án (số liệu từ ngày 01/01/2016 đến 31/10/2016)</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Tổng thụ lý các loại vụ án: 144 vụ. Đã giải quyết 123 vụ, còn 21 vụ đang giải quyết. Số liệu cụ thể:</w:t>
      </w:r>
    </w:p>
    <w:p w:rsidR="00340710" w:rsidRPr="009918B5" w:rsidRDefault="00340710" w:rsidP="00340710">
      <w:pPr>
        <w:pStyle w:val="Vnbnnidung20"/>
        <w:shd w:val="clear" w:color="auto" w:fill="auto"/>
        <w:spacing w:before="60" w:after="60" w:line="240" w:lineRule="auto"/>
        <w:ind w:firstLine="709"/>
        <w:jc w:val="both"/>
        <w:rPr>
          <w:rStyle w:val="Ghichcuitrang910"/>
          <w:b/>
          <w:bCs/>
          <w:sz w:val="28"/>
          <w:szCs w:val="28"/>
        </w:rPr>
      </w:pPr>
      <w:r w:rsidRPr="009918B5">
        <w:rPr>
          <w:b/>
          <w:sz w:val="28"/>
          <w:szCs w:val="28"/>
        </w:rPr>
        <w:t>2.1. Về án hình sự</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Tổng thụ lý: 36 vụ - 65 bị cáo. Đã giải quyết 32 vụ - 59 bị cáo. Còn lại: 04 vụ - 06 bị cáo - đang giải quyết.</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xml:space="preserve">Trong đó, đình chỉ giải quyết 01 vụ - 3 bị cáo </w:t>
      </w:r>
      <w:r w:rsidRPr="009918B5">
        <w:rPr>
          <w:i/>
          <w:sz w:val="28"/>
          <w:szCs w:val="28"/>
        </w:rPr>
        <w:t xml:space="preserve">(lý do người bị hại có đơn rút yêu cầu truy tố nên Tòa án ra Quyết định đình chỉ theo Điều 180 Bộ luật Tố tụng hình sự). </w:t>
      </w:r>
      <w:r w:rsidRPr="009918B5">
        <w:rPr>
          <w:sz w:val="28"/>
          <w:szCs w:val="28"/>
        </w:rPr>
        <w:t>Đưa ra xét xử 27 vụ - 45 bị cáo kết quả xét xử:</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Tuyên có tội 26 vụ - 44 bị cáo với mức hình phạt: Tù có thời hạn từ 03 năm đến 07 năm: 01 bị cáo; Tù có thời hạn dưới 03 năm: 37 bị cáo; Tù nhưng cho hưởng án treo là 6 bị cáo.</w:t>
      </w:r>
    </w:p>
    <w:p w:rsidR="00340710" w:rsidRPr="009918B5" w:rsidRDefault="00340710" w:rsidP="00340710">
      <w:pPr>
        <w:pStyle w:val="Vnbnnidung90"/>
        <w:shd w:val="clear" w:color="auto" w:fill="auto"/>
        <w:spacing w:before="60" w:after="60" w:line="240" w:lineRule="auto"/>
        <w:ind w:firstLine="709"/>
        <w:jc w:val="both"/>
        <w:rPr>
          <w:sz w:val="28"/>
          <w:szCs w:val="28"/>
        </w:rPr>
      </w:pPr>
      <w:r w:rsidRPr="009918B5">
        <w:rPr>
          <w:rStyle w:val="Vnbnnidung2Innghing"/>
          <w:sz w:val="28"/>
          <w:szCs w:val="28"/>
        </w:rPr>
        <w:t xml:space="preserve">- Tuyên vô tội 01 vụ - 01 bị cáo (Về tội </w:t>
      </w:r>
      <w:r w:rsidRPr="009918B5">
        <w:rPr>
          <w:i w:val="0"/>
          <w:sz w:val="28"/>
          <w:szCs w:val="28"/>
        </w:rPr>
        <w:t>“</w:t>
      </w:r>
      <w:r w:rsidRPr="009918B5">
        <w:rPr>
          <w:sz w:val="28"/>
          <w:szCs w:val="28"/>
        </w:rPr>
        <w:t>Vi phạm quy định về điều khiển phương tiện giao thông đường bộ</w:t>
      </w:r>
      <w:r w:rsidRPr="009918B5">
        <w:rPr>
          <w:rStyle w:val="Vnbnnidung2Innghing"/>
          <w:sz w:val="28"/>
          <w:szCs w:val="28"/>
        </w:rPr>
        <w:t>”).</w:t>
      </w:r>
    </w:p>
    <w:p w:rsidR="00340710" w:rsidRPr="009918B5" w:rsidRDefault="00340710" w:rsidP="00340710">
      <w:pPr>
        <w:pStyle w:val="Vnbnnidung20"/>
        <w:shd w:val="clear" w:color="auto" w:fill="auto"/>
        <w:spacing w:before="60" w:after="60" w:line="240" w:lineRule="auto"/>
        <w:ind w:firstLine="709"/>
        <w:jc w:val="both"/>
        <w:rPr>
          <w:i/>
          <w:sz w:val="28"/>
          <w:szCs w:val="28"/>
        </w:rPr>
      </w:pPr>
      <w:r w:rsidRPr="009918B5">
        <w:rPr>
          <w:sz w:val="28"/>
          <w:szCs w:val="28"/>
        </w:rPr>
        <w:t xml:space="preserve">Trả hồ sơ cho Viện Kiểm sát điều tra bổ sung: 04 vụ - 11 bị cáo </w:t>
      </w:r>
      <w:r w:rsidRPr="009918B5">
        <w:rPr>
          <w:i/>
          <w:sz w:val="28"/>
          <w:szCs w:val="28"/>
        </w:rPr>
        <w:t>(03 vụ VKS chấp nhận điều tra bổ sung theo yêu cầu của Tòa án; 01 vụ không chấp nhận, giữ nguyên quan điểm truy tố).</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xml:space="preserve">Án có kháng cáo, kháng nghị 06 vụ. Kết quả cấp phúc thẩm xử y án 01 vụ </w:t>
      </w:r>
      <w:r w:rsidRPr="009918B5">
        <w:rPr>
          <w:i/>
          <w:sz w:val="28"/>
          <w:szCs w:val="28"/>
        </w:rPr>
        <w:t>(vụ Đỗ Ngọc Huynh và đồng phạm, phạm tội “Đánh bạc” theo khoản 1 Điều 248 BLHS)</w:t>
      </w:r>
      <w:r w:rsidRPr="009918B5">
        <w:rPr>
          <w:sz w:val="28"/>
          <w:szCs w:val="28"/>
        </w:rPr>
        <w:t xml:space="preserve">; hủy án 02 vụ </w:t>
      </w:r>
      <w:r w:rsidRPr="009918B5">
        <w:rPr>
          <w:i/>
          <w:sz w:val="28"/>
          <w:szCs w:val="28"/>
        </w:rPr>
        <w:t xml:space="preserve">(vụ Võ Văn Hùng bị truy tố về tội “ Vi phạm quy định về điều </w:t>
      </w:r>
      <w:r w:rsidRPr="009918B5">
        <w:rPr>
          <w:i/>
          <w:sz w:val="28"/>
          <w:szCs w:val="28"/>
        </w:rPr>
        <w:lastRenderedPageBreak/>
        <w:t>khiển phương tiện giao thông đường bộ” theo khoản 1 Điều 202 BLHS; vụ Lê Tử Trung, Ngô Cao Sơn bị truy tố về tội “Cố ý gây thương tích” theo khoản 3 Điều 104 BLHS).</w:t>
      </w:r>
      <w:r w:rsidRPr="009918B5">
        <w:rPr>
          <w:sz w:val="28"/>
          <w:szCs w:val="28"/>
        </w:rPr>
        <w:t xml:space="preserve"> Nguyên nhân hủy là do vi phạm thủ tục tố tụng, tại phiên tòa phúc thẩm không thể bổ sung được nên hủy án đề cấp sơ thẩm điều tra bổ sung, xét xử lại; còn 03 vụ chưa có kết quả.</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Bị cáo là người chưa thành niên là 01 bị cáo. Tòa án huyện đã đưa ra xét xử lưu động được 03 vụ án hình sự tại nơi xảy ra tội phạm.</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Nhìn chung, các vụ án hình sự đều được giải quyết, xét xử kịp thời theo luật định, các phiên toà được tổ chức xét xử an toàn, nghiêm minh; việc xem xét, đánh giá chứng cứ, áp dụng pháp luật và tiến hành các hoạt động tố tụng để xác định tội danh và quyết định hình phạt của Hội đồng xét xử đều đảm bảo đúng quy định của pháp luật, phù hợp với tính chất và mức độ nguy hiểm của từng hành vi phạm tội, không để xảy ra trường hợp nào bị xét xử oan, sai hoặc bỏ lọt tội phạm.</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2.2. Về giải quyết, xét xử các vụ việc dân sự</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sz w:val="28"/>
          <w:szCs w:val="28"/>
        </w:rPr>
        <w:t>- Về án dân sự:</w:t>
      </w:r>
      <w:r w:rsidRPr="009918B5">
        <w:rPr>
          <w:b/>
          <w:sz w:val="28"/>
          <w:szCs w:val="28"/>
        </w:rPr>
        <w:t xml:space="preserve"> </w:t>
      </w:r>
      <w:r w:rsidRPr="009918B5">
        <w:rPr>
          <w:sz w:val="28"/>
          <w:szCs w:val="28"/>
        </w:rPr>
        <w:t xml:space="preserve">tổng thụ lý: 28 vụ. Đã giải quyết: 24 vụ </w:t>
      </w:r>
      <w:r w:rsidRPr="009918B5">
        <w:rPr>
          <w:i/>
          <w:sz w:val="28"/>
          <w:szCs w:val="28"/>
        </w:rPr>
        <w:t>(Đình chỉ 04 vụ, lý do đình chỉ: người khởi kiện đơn rút đơn khởi kiện; Công nhận sự thỏa thuận 14 vụ; xét xử 06 vụ).</w:t>
      </w:r>
      <w:r w:rsidRPr="009918B5">
        <w:rPr>
          <w:sz w:val="28"/>
          <w:szCs w:val="28"/>
        </w:rPr>
        <w:t xml:space="preserve"> Còn lại 04 vụ - Đang giải quyết. Án có kháng cáo, kháng nghị: Không.</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Về án hôn nhân gia đình:</w:t>
      </w:r>
      <w:r w:rsidRPr="009918B5">
        <w:rPr>
          <w:b/>
          <w:sz w:val="28"/>
          <w:szCs w:val="28"/>
        </w:rPr>
        <w:t xml:space="preserve"> </w:t>
      </w:r>
      <w:r w:rsidRPr="009918B5">
        <w:rPr>
          <w:sz w:val="28"/>
          <w:szCs w:val="28"/>
        </w:rPr>
        <w:t xml:space="preserve">Tổng thụ lý: 80 vụ. Đã giải quyết 67 vụ. Trong đó: Công nhận thuận tình ly hôn: 44 vụ; Đình chỉ: 21 vụ </w:t>
      </w:r>
      <w:r w:rsidRPr="009918B5">
        <w:rPr>
          <w:i/>
          <w:sz w:val="28"/>
          <w:szCs w:val="28"/>
        </w:rPr>
        <w:t>(lý do đình chỉ: người khởi kiện đơn rút đơn khởi kiện);</w:t>
      </w:r>
      <w:r w:rsidRPr="009918B5">
        <w:rPr>
          <w:sz w:val="28"/>
          <w:szCs w:val="28"/>
        </w:rPr>
        <w:t xml:space="preserve"> Xét xử: 02 vụ. Còn lại: 13 vụ - đang giải quyết. Án có kháng cáo, kháng nghị: Không.</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sz w:val="28"/>
          <w:szCs w:val="28"/>
        </w:rPr>
        <w:t>- Các loại án kinh doanh thương mại, lao động:</w:t>
      </w:r>
      <w:r w:rsidRPr="009918B5">
        <w:rPr>
          <w:rStyle w:val="Vnbnnidung2Innghing"/>
          <w:sz w:val="28"/>
          <w:szCs w:val="28"/>
        </w:rPr>
        <w:t xml:space="preserve"> Không thụ lý giải quyết vụ án nào.</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2.3. Về án Hành chính</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sz w:val="28"/>
          <w:szCs w:val="28"/>
        </w:rPr>
        <w:t>Đơn vị không thụ lý, giải quyết vụ nào.</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3. Công tác thi hành án hình sự, tiếp công dân và giải quyết khiếu nại, tố cáo</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3.1. Công tác thi hành án hình sự</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Tổng số người bị kết án mà bản án đã có hiệu lực pháp luật: 34 bị án: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Ra quyết định thi hành án hình sự: 34 bị án.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Ủy thác thi hành án hình sự: 0 bị án.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Tất cả những bản án đã tuyên, khi án có hiệu lực, Toà án đã ra quyết định thi hành 100%. Không có trường hợp nào hoãn thi hành án. 100% các bản án được hưởng án treo đều được cấp sổ theo dõi thi hành án đúng quy định.</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Năm 2016, xét miễn giảm tiền án phí cho 01 trường hợp với số tiền giảm là 3.576.778 đồng.</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3.2. Công tác tiếp dân và giải quyết khiếu nại, tố cáo</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xml:space="preserve">Đơn vị luôn chú trọng thực hiện tốt công tác tiếp dân. Phân công cán bộ có năng lực chuyên môn tiếp công dân tại trụ sở vào tất cả các ngày làm việc. Tinh thần, trách nhiệm, thái độ phục vụ nhân dân tận tình chu đáo, đúng theo quy định của pháp luật. Không để xảy ra hiện tượng cán bộ tiêu cực gây phiền hà, sách </w:t>
      </w:r>
      <w:r w:rsidRPr="009918B5">
        <w:rPr>
          <w:sz w:val="28"/>
          <w:szCs w:val="28"/>
        </w:rPr>
        <w:lastRenderedPageBreak/>
        <w:t>nhiễu đối với nhân dân và các đương sự.</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Năm 2016 Toà án huyện nhận được một đơn khiếu nại của bà Phạm Thị Thuý, khiếu nại đối với Thông báo trả lại đơn khởi kiện của Toà án nhân dân huyện Sa Thầy. Sau khi nhận đơn, Chánh án Toà án huyện đã ra Quyết định trả lời đơn khiếu nại theo đúng quy định pháp luật. Hiện nay, bà Phạm Thị Thuý không có ý kiến thắc mắc gì. Ngoài ra không có đơn thư khiếu nại nhiều lần hoặc gây bức xúc kéo dài.</w:t>
      </w:r>
    </w:p>
    <w:p w:rsidR="00340710" w:rsidRPr="009918B5" w:rsidRDefault="00340710" w:rsidP="00340710">
      <w:pPr>
        <w:pStyle w:val="Vnbnnidung60"/>
        <w:shd w:val="clear" w:color="auto" w:fill="auto"/>
        <w:spacing w:line="240" w:lineRule="auto"/>
        <w:ind w:firstLine="709"/>
        <w:rPr>
          <w:b/>
          <w:i w:val="0"/>
          <w:sz w:val="28"/>
          <w:szCs w:val="28"/>
        </w:rPr>
      </w:pPr>
      <w:r w:rsidRPr="009918B5">
        <w:rPr>
          <w:b/>
          <w:i w:val="0"/>
          <w:sz w:val="28"/>
          <w:szCs w:val="28"/>
        </w:rPr>
        <w:t>4. Quan hệ phối hợp công tác với cơ quan Công an, Viện kiểm sát và các cơ quan hữu quan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Đơn vị đã thực hiện việc ký kết quy chế phối hợp liên ngành giữa Công an, Viện kiểm sát và Thi hành án. Trong quá trình thực hiện Quy chế, đơn vị thường xuyên phối hợp, trao đổi, bàn thống nhất giải quyết, tháo gỡ những khó khăn, vướng mắc và tạo điều kiện thuận lợi cho nhau trong công tác, góp phần đảm bảo an ninh, chính trị tại địa phương.</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Ngoài ra, đơn vị luôn thực hiện tốt quan hệ phối hợp công tác với các cơ quan ban ngành trong huyện.</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5. Công tác Hội thẩm nhân dân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Kỳ họp thứ nhất Hội đồng nhân dân huyện khoá X, nhiệm kỳ 2016-2021 đã bầu được 17 vị Hội thẩm Toà án nhân dân huyện. Trong đó có 5 vị Hội thẩm tái cử, còn lại là bầu mới nhiệm kỳ đầu. Các vị Hội thẩm được bầu đại diện cho các ngành, các giới đều có năng lực, trình độ, kinh nghiệm đáp ứng được yêu cầu nhiệm vụ.</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Trong năm, Hội thẩm nhân dân tham gia xét xử cùng Toà án được 35 vụ án các loại. Mặc dù mới được bầu nhiệm kỳ đầu nhưng các vị Hội thẩm đều thực hiện đúng chức năng, nhiệm vụ của mình, nghiên cứu kỹ nội dung vụ án trước khi xét xử. Không có vị Hội thẩm nào vi phạm pháp luật, mất uy tín với nhân dân, không có đơn thư khiếu nại gì trong công tác xét xử.</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II. CÔNG TÁC XÂY DỰNG NGÀNH</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1. Công tác cải cách tư pháp theo Nghị quyết số 49-</w:t>
      </w:r>
      <w:r w:rsidRPr="009918B5">
        <w:rPr>
          <w:b/>
          <w:sz w:val="28"/>
          <w:szCs w:val="28"/>
          <w:lang w:bidi="en-US"/>
        </w:rPr>
        <w:t xml:space="preserve">NQ/TW </w:t>
      </w:r>
      <w:r w:rsidRPr="009918B5">
        <w:rPr>
          <w:b/>
          <w:sz w:val="28"/>
          <w:szCs w:val="28"/>
        </w:rPr>
        <w:t>ngày 02/6/2005 của Bộ chính trị về chiến lược cải cách tư pháp đến năm 2020 và các văn bản liên quan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xml:space="preserve">Tiếp tục thực hiện Nghị quyết </w:t>
      </w:r>
      <w:r w:rsidRPr="009918B5">
        <w:rPr>
          <w:sz w:val="28"/>
          <w:szCs w:val="28"/>
          <w:lang w:bidi="en-US"/>
        </w:rPr>
        <w:t xml:space="preserve">49-NQ/TW </w:t>
      </w:r>
      <w:r w:rsidRPr="009918B5">
        <w:rPr>
          <w:sz w:val="28"/>
          <w:szCs w:val="28"/>
        </w:rPr>
        <w:t>ngày 02/6/2005 của Bộ Chính trị về chiến lược cải cách tư pháp, việc xét hỏi và tranh tụng tại phiên tòa được đổi mới mạnh mẽ, đảm bảo dân chủ, khách quan. Các phán quyết của Hội đồng xét xử căn cứ chủ yếu vào kết quả tranh tụng công khai tại phiên tòa, trên cơ sở xem xét đầy đủ, toàn diện các chứng cứ, ý kiến của kiểm sát viên, của người bào chữa, bị cáo và những người tham gia tố tụng khác nên đảm bảo xét xử đúng người, đúng tội, đúng pháp luật.</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2. Tình hình biên chế của đơn vị</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Hiện nay Tòa án có 7 biên chế và 02 hợp đồng dài hạn (Bảo vệ và tạp vụ). Trong đó: Thẩm phán là 03 (Thẩm phán trung cấp: 01, Thẩm phán sơ cấp là 02); Thư ký là 03; chức danh khác 01 (Kế toán).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xml:space="preserve">Kể từ tháng 8/2016, Tòa án nhân dân huyện Sa Thầy được cấp trên quyết </w:t>
      </w:r>
      <w:r w:rsidRPr="009918B5">
        <w:rPr>
          <w:sz w:val="28"/>
          <w:szCs w:val="28"/>
        </w:rPr>
        <w:lastRenderedPageBreak/>
        <w:t>định thành lập bộ máy giúp việc cho Tòa án là Văn phòng. Văn phòng đã thực hiện một số nhiệm vụ mới theo tinh thần Quyểt định so 345/2016/QĐ-CA ngày 07/4/2016 của Chánh án Tòa án nhân dân Tối cao, tuy nhiên hiện nay vẫn chưa tuyển dụng thêm biên chế làm công tác Văn phòng. Công tác văn phòng do Thẩm phán và Thư ký kiêm nhiệm.</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Với số lượng cán bộ và trình độ như trên, so với tình hình nhiệm vụ hiện nay, số lượng Thẩm phán, Thư ký, chuyên viên còn thiếu, khó khăn trong quá trình thực hiện nhiệm vụ.</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III. ĐÁNH GIÁ CHUNG</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1. Về ưu điểm</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Đơn vị đã thực hiện nhiệm vụ tương đối tốt, giải quyết, xét xử kịp thời các loại vụ án, không để án quá hạn luật định, không có trường họp nào bị oan sai hoặc bỏ lọt tội phạm, không có bản án nào tuyên không rõ ràng, gây khó khăn cho công tác thi hành án.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Thẩm phán, Thư ký luôn phát huy tinh thần trách nhiệm, tích cực nghiên cứu hồ sơ, đảm bảo xét hỏi và tranh tụng tại phiên tòa theo quy định của pháp luật tố tụng và tinh thần cải cách tư pháp, chất lượng các phiên tòa xét xử từng bước được nâng cao.</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Trong việc giải quyết, xét xử các vụ việc dân sự, hôn nhân - gia đình, đơn vị đã tích cực hoà giải, hướng dẫn các đương sự thực hiện đúng nghĩa vụ về cung cấp chứng cứ, tài liệu của vụ án; đồng thời chủ động xác minh, thu thập chứng cứ trong những trường hợp cần thiết theo quy định của pháp luật; việc đánh giá chứng cứ thận trọng, khách quan, giải quyết đảm bảo đúng pháp luật. Do vậy tỷ lệ hoà giải thành trong án dân sự, hôn nhân - gia đình giải quyết đạt 63,7%. Hòa giải đoàn tụ trong án Hôn nhân và gia đình 21 cặp vợ chồng, chiếm 31%.</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2. Một số tồn tại</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Bên cạnh những kết quả đạt được, đơn vị vẫn còn một số tồn tại nhất định, chất lượng giải quyết đối với án hình sự chưa cao, vẫn còn một số vụ án bị cấp phúc thẩm hủy án sơ thẩm.</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3. Nguyên nhân</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3.1.</w:t>
      </w:r>
      <w:r w:rsidRPr="009918B5">
        <w:rPr>
          <w:b/>
          <w:i/>
          <w:sz w:val="28"/>
          <w:szCs w:val="28"/>
        </w:rPr>
        <w:t xml:space="preserve"> </w:t>
      </w:r>
      <w:r w:rsidRPr="009918B5">
        <w:rPr>
          <w:b/>
          <w:sz w:val="28"/>
          <w:szCs w:val="28"/>
        </w:rPr>
        <w:t>Nguyên nhân khách quan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Mức độ, hành vi phạm tội ngày càng nguy hiểm, phức tạp. Hệ thống văn bản pháp luật có một số nội dung chưa rõ ràng nên việc áp dụng pháp luật không tránh khỏi lúng túng dẫn tới tình trạng hiểu và áp dụng pháp luật để giải quyết án chưa thống nhất, ảnh hưởng đến chất lượng xét xử.</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3.2. Nguyên nhân chủ quan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Do thiếu sót trong quá trình nghiên cứu hồ sơ nên vi phạm về thủ tục tố tụng trong quá trình giải quyết án.</w:t>
      </w:r>
    </w:p>
    <w:p w:rsidR="00340710" w:rsidRPr="009918B5" w:rsidRDefault="00340710" w:rsidP="00340710">
      <w:pPr>
        <w:pStyle w:val="Vnbnnidung60"/>
        <w:shd w:val="clear" w:color="auto" w:fill="auto"/>
        <w:spacing w:line="240" w:lineRule="auto"/>
        <w:ind w:firstLine="709"/>
        <w:rPr>
          <w:b/>
          <w:i w:val="0"/>
          <w:sz w:val="28"/>
          <w:szCs w:val="28"/>
        </w:rPr>
      </w:pPr>
      <w:r w:rsidRPr="009918B5">
        <w:rPr>
          <w:b/>
          <w:i w:val="0"/>
          <w:sz w:val="28"/>
          <w:szCs w:val="28"/>
        </w:rPr>
        <w:t>IV. PHƯƠNG HƯỚNG, NHIỆM VỤ CÔNG TÁC</w:t>
      </w:r>
    </w:p>
    <w:p w:rsidR="00340710" w:rsidRPr="009918B5" w:rsidRDefault="00340710" w:rsidP="00340710">
      <w:pPr>
        <w:pStyle w:val="Vnbnnidung60"/>
        <w:shd w:val="clear" w:color="auto" w:fill="auto"/>
        <w:tabs>
          <w:tab w:val="left" w:pos="332"/>
        </w:tabs>
        <w:spacing w:line="240" w:lineRule="auto"/>
        <w:ind w:firstLine="709"/>
        <w:rPr>
          <w:b/>
          <w:i w:val="0"/>
          <w:sz w:val="28"/>
          <w:szCs w:val="28"/>
        </w:rPr>
      </w:pPr>
      <w:r w:rsidRPr="009918B5">
        <w:rPr>
          <w:b/>
          <w:i w:val="0"/>
          <w:sz w:val="28"/>
          <w:szCs w:val="28"/>
        </w:rPr>
        <w:t>1. Dự báo tình hình</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 xml:space="preserve">Số lượng các loại vụ án ngày càng tăng dần, đặc biệt là án Hôn nhân - gia đình. Dự báo trong hai tháng tới, từ ngày 01/11/2016 đến 31/12/2016, số lượng các </w:t>
      </w:r>
      <w:r w:rsidRPr="009918B5">
        <w:rPr>
          <w:sz w:val="28"/>
          <w:szCs w:val="28"/>
        </w:rPr>
        <w:lastRenderedPageBreak/>
        <w:t>loại án thụ lý giải quyết, xét xử khoảng 50 vụ. Dự báo trong 10 tháng tiếp theo kể từ tháng 1/2017 đến 31/10/2017, đơn vị thụ lý giải quyết, xét xử khoảng 180 vụ án.</w:t>
      </w:r>
    </w:p>
    <w:p w:rsidR="00340710" w:rsidRPr="009918B5" w:rsidRDefault="00340710" w:rsidP="00340710">
      <w:pPr>
        <w:pStyle w:val="Vnbnnidung20"/>
        <w:shd w:val="clear" w:color="auto" w:fill="auto"/>
        <w:spacing w:before="60" w:after="60" w:line="240" w:lineRule="auto"/>
        <w:ind w:firstLine="709"/>
        <w:jc w:val="both"/>
        <w:rPr>
          <w:b/>
          <w:sz w:val="28"/>
          <w:szCs w:val="28"/>
        </w:rPr>
      </w:pPr>
      <w:r w:rsidRPr="009918B5">
        <w:rPr>
          <w:b/>
          <w:sz w:val="28"/>
          <w:szCs w:val="28"/>
        </w:rPr>
        <w:t>2. Phương hướng, nhiệm vụ</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Một là:</w:t>
      </w:r>
      <w:r w:rsidRPr="009918B5">
        <w:rPr>
          <w:sz w:val="28"/>
          <w:szCs w:val="28"/>
        </w:rPr>
        <w:t xml:space="preserve"> Tiếp tục quán triệt cho cán bộ, công chức thực hiện nghiêm Nghị quyết số 08-</w:t>
      </w:r>
      <w:r w:rsidRPr="009918B5">
        <w:rPr>
          <w:sz w:val="28"/>
          <w:szCs w:val="28"/>
          <w:lang w:bidi="en-US"/>
        </w:rPr>
        <w:t xml:space="preserve">NQ/TW, </w:t>
      </w:r>
      <w:r w:rsidRPr="009918B5">
        <w:rPr>
          <w:sz w:val="28"/>
          <w:szCs w:val="28"/>
        </w:rPr>
        <w:t>ngày 02/01/2002 về đổi mới công tác tư pháp trong thời gian tới; Nghị quyết 49-</w:t>
      </w:r>
      <w:r w:rsidRPr="009918B5">
        <w:rPr>
          <w:sz w:val="28"/>
          <w:szCs w:val="28"/>
          <w:lang w:bidi="en-US"/>
        </w:rPr>
        <w:t xml:space="preserve">NQ/TW, </w:t>
      </w:r>
      <w:r w:rsidRPr="009918B5">
        <w:rPr>
          <w:sz w:val="28"/>
          <w:szCs w:val="28"/>
        </w:rPr>
        <w:t>ngày 02/6/2005 về chiến lược cải cách tư pháp đến năm 2020 của Bộ chính trị; các quy định mới của Hiến pháp năm 2013; Luật Tổ chức Tòa án nhân dân năm 2014 và các hướng dẫn áp dụng các quy định của Luật, Bộ luật mới. Chú trọng đổi mới phương pháp, lề lối làm việc theo hướng cải cách hành chính tư pháp.</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Hai là:</w:t>
      </w:r>
      <w:r w:rsidRPr="009918B5">
        <w:rPr>
          <w:sz w:val="28"/>
          <w:szCs w:val="28"/>
        </w:rPr>
        <w:t xml:space="preserve"> Đẩy mạnh công tác giáo dục chính trị tư tưởng cho cán bộ, công chức trong đơn vị, nhằm nâng cao trách nhiệm của người cán bộ Tòa án, gắn với việc “Học tập và làm theo tư tưởng, tấm gương, đạo đức, phong cách Hồ Chí Minh” theo Chỉ thị 05 của Bộ chính trị.</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Ba là:</w:t>
      </w:r>
      <w:r w:rsidRPr="009918B5">
        <w:rPr>
          <w:sz w:val="28"/>
          <w:szCs w:val="28"/>
        </w:rPr>
        <w:t xml:space="preserve"> Đẩy nhanh tiến độ và nâng cao chất lượng xét xử các loại vụ án, bảo đảm không để án quá thời hạn theo quy định của pháp luật, án tuyên không rõ ràng; phấn đấu không để xảy ra tình trạng án hủy, sửa do lỗi chủ quan của Thẩm phán, xét xử oan sai hoặc bỏ lọt tội phạm.</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Bốn là:</w:t>
      </w:r>
      <w:r w:rsidRPr="009918B5">
        <w:rPr>
          <w:sz w:val="28"/>
          <w:szCs w:val="28"/>
        </w:rPr>
        <w:t xml:space="preserve"> Tiếp tục chỉ đạo đơn vị thực hiện tốt công tác tiếp dân, giải quyết đúng và kịp thời các loại đơn khiếu nại, tố cáo theo thẩm quyền. Không để trường hợp nào gây bức xúc kéo dài.</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Năm là:</w:t>
      </w:r>
      <w:r w:rsidRPr="009918B5">
        <w:rPr>
          <w:sz w:val="28"/>
          <w:szCs w:val="28"/>
        </w:rPr>
        <w:t xml:space="preserve"> Tăng cường áp dụng công nghệ thông tin; tiếp tục triển khai thực hiện việc nhập phần mềm số hóa một số tài liệu trong hồ sơ vụ án.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Sáu là:</w:t>
      </w:r>
      <w:r w:rsidRPr="009918B5">
        <w:rPr>
          <w:sz w:val="28"/>
          <w:szCs w:val="28"/>
        </w:rPr>
        <w:t xml:space="preserve"> Triển khai kịp thời kế hoạch tập huấn của ngành cấp trên đến các vị Hội thẩm mới nhiệm kỳ 2016-2021. Tạo điều kiện thuận lợi để các vị tham gia tập huấn nghiệp vụ xét xử để nắm bắt được kỹ năng nghiên cứu hồ sơ vụ án cũng như xét hỏi tại phiên toà, nhằm đáp ứng yêu cầu nhiệm vụ.</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Bảy là:</w:t>
      </w:r>
      <w:r w:rsidRPr="009918B5">
        <w:rPr>
          <w:sz w:val="28"/>
          <w:szCs w:val="28"/>
        </w:rPr>
        <w:t xml:space="preserve"> Tạo điều kiện để cán bộ, Thẩm phán, Thư ký tham gia các lớp tập huấn chuyên môn nghiệp vụ do ngành tổ chức nhằm nâng cao trình độ, năng lực và phẩm chất đạo đức, đáp ứng yêu cầu nhiệm vụ. Phân công nhiệm vụ chuyên môn hợp lý, đúng năng lực, trình độ của mỗi cán bộ, công chức nhằm bảo đảm cho việc hoàn thành nhiệm vụ trong công cuộc cải cách tư pháp.</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Tám là:</w:t>
      </w:r>
      <w:r w:rsidRPr="009918B5">
        <w:rPr>
          <w:sz w:val="28"/>
          <w:szCs w:val="28"/>
        </w:rPr>
        <w:t xml:space="preserve"> Thực hiện tốt việc quản lý kinh phí, thực hành tiết kiệm, chống lãng phí; Quy chế dân chủ ở cơ sở, Quy chế chi tiêu nội bộ và các văn bản pháp luật có liên quan.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rStyle w:val="Vnbnnidung2Innghing"/>
          <w:sz w:val="28"/>
          <w:szCs w:val="28"/>
        </w:rPr>
        <w:t>Chín là:</w:t>
      </w:r>
      <w:r w:rsidRPr="009918B5">
        <w:rPr>
          <w:sz w:val="28"/>
          <w:szCs w:val="28"/>
        </w:rPr>
        <w:t xml:space="preserve"> Thực hiện tốt quy chế phối hợp giữa các cơ quan VKS, Công an và Chi cục Thi hành án dân sự huyện.</w:t>
      </w:r>
    </w:p>
    <w:p w:rsidR="00340710" w:rsidRPr="009918B5" w:rsidRDefault="00340710" w:rsidP="00340710">
      <w:pPr>
        <w:pStyle w:val="Vnbnnidung20"/>
        <w:shd w:val="clear" w:color="auto" w:fill="auto"/>
        <w:spacing w:before="60" w:after="60" w:line="240" w:lineRule="auto"/>
        <w:ind w:firstLine="709"/>
        <w:jc w:val="both"/>
        <w:rPr>
          <w:sz w:val="28"/>
          <w:szCs w:val="28"/>
        </w:rPr>
      </w:pPr>
      <w:r w:rsidRPr="009918B5">
        <w:rPr>
          <w:sz w:val="28"/>
          <w:szCs w:val="28"/>
        </w:rPr>
        <w:t>Trên đây là nội dung báo cáo kết quả thực hiện công tác năm 2016 và phương hướng, nhiệm vụ thời gian tới của Toà án nhân dân huyện Sa Thầy./.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9"/>
        <w:gridCol w:w="5744"/>
      </w:tblGrid>
      <w:tr w:rsidR="00340710" w:rsidTr="00A0534C">
        <w:tc>
          <w:tcPr>
            <w:tcW w:w="3828" w:type="dxa"/>
          </w:tcPr>
          <w:p w:rsidR="00340710" w:rsidRPr="00DF24B4" w:rsidRDefault="00340710" w:rsidP="00A0534C">
            <w:pPr>
              <w:pStyle w:val="Vnbnnidung20"/>
              <w:shd w:val="clear" w:color="auto" w:fill="auto"/>
              <w:spacing w:after="0" w:line="240" w:lineRule="auto"/>
              <w:ind w:firstLine="0"/>
              <w:jc w:val="both"/>
              <w:rPr>
                <w:b/>
                <w:i/>
                <w:sz w:val="24"/>
                <w:szCs w:val="24"/>
              </w:rPr>
            </w:pPr>
            <w:r w:rsidRPr="00DF24B4">
              <w:rPr>
                <w:b/>
                <w:i/>
                <w:sz w:val="24"/>
                <w:szCs w:val="24"/>
              </w:rPr>
              <w:t>Nơi nhận:</w:t>
            </w:r>
          </w:p>
          <w:p w:rsidR="00340710" w:rsidRPr="00DF24B4" w:rsidRDefault="00340710" w:rsidP="00A0534C">
            <w:pPr>
              <w:pStyle w:val="Vnbnnidung20"/>
              <w:shd w:val="clear" w:color="auto" w:fill="auto"/>
              <w:spacing w:after="0" w:line="240" w:lineRule="auto"/>
              <w:ind w:firstLine="0"/>
              <w:jc w:val="both"/>
              <w:rPr>
                <w:sz w:val="22"/>
                <w:szCs w:val="22"/>
              </w:rPr>
            </w:pPr>
            <w:r w:rsidRPr="00DF24B4">
              <w:rPr>
                <w:sz w:val="22"/>
                <w:szCs w:val="22"/>
              </w:rPr>
              <w:t>- TT HĐND huyện;</w:t>
            </w:r>
          </w:p>
          <w:p w:rsidR="00340710" w:rsidRPr="00DF24B4" w:rsidRDefault="00340710" w:rsidP="00A0534C">
            <w:pPr>
              <w:pStyle w:val="Vnbnnidung20"/>
              <w:shd w:val="clear" w:color="auto" w:fill="auto"/>
              <w:spacing w:after="0" w:line="240" w:lineRule="auto"/>
              <w:ind w:firstLine="0"/>
              <w:jc w:val="both"/>
              <w:rPr>
                <w:sz w:val="22"/>
                <w:szCs w:val="22"/>
              </w:rPr>
            </w:pPr>
            <w:r w:rsidRPr="00DF24B4">
              <w:rPr>
                <w:sz w:val="22"/>
                <w:szCs w:val="22"/>
              </w:rPr>
              <w:t>- Ban Pháp chế HĐND huyện;</w:t>
            </w:r>
          </w:p>
          <w:p w:rsidR="00340710" w:rsidRDefault="00340710" w:rsidP="00A0534C">
            <w:pPr>
              <w:pStyle w:val="Vnbnnidung20"/>
              <w:shd w:val="clear" w:color="auto" w:fill="auto"/>
              <w:spacing w:after="0" w:line="240" w:lineRule="auto"/>
              <w:ind w:firstLine="0"/>
              <w:jc w:val="both"/>
            </w:pPr>
            <w:r w:rsidRPr="00DF24B4">
              <w:rPr>
                <w:sz w:val="22"/>
                <w:szCs w:val="22"/>
              </w:rPr>
              <w:t>- Lưu: VT.</w:t>
            </w:r>
          </w:p>
        </w:tc>
        <w:tc>
          <w:tcPr>
            <w:tcW w:w="5918" w:type="dxa"/>
          </w:tcPr>
          <w:p w:rsidR="00340710" w:rsidRPr="00DF24B4" w:rsidRDefault="00340710" w:rsidP="00A0534C">
            <w:pPr>
              <w:pStyle w:val="Vnbnnidung20"/>
              <w:shd w:val="clear" w:color="auto" w:fill="auto"/>
              <w:spacing w:before="60" w:after="60" w:line="240" w:lineRule="auto"/>
              <w:ind w:firstLine="0"/>
              <w:rPr>
                <w:b/>
              </w:rPr>
            </w:pPr>
            <w:r w:rsidRPr="00DF24B4">
              <w:rPr>
                <w:b/>
              </w:rPr>
              <w:t>CHÁNH ÁN</w:t>
            </w:r>
          </w:p>
          <w:p w:rsidR="00340710" w:rsidRPr="00DF24B4" w:rsidRDefault="00340710" w:rsidP="00A0534C">
            <w:pPr>
              <w:pStyle w:val="Vnbnnidung20"/>
              <w:shd w:val="clear" w:color="auto" w:fill="auto"/>
              <w:spacing w:before="60" w:after="60" w:line="240" w:lineRule="auto"/>
              <w:ind w:firstLine="0"/>
              <w:rPr>
                <w:b/>
              </w:rPr>
            </w:pPr>
            <w:r w:rsidRPr="00DF24B4">
              <w:rPr>
                <w:b/>
              </w:rPr>
              <w:t>(Đã ký)</w:t>
            </w:r>
          </w:p>
          <w:p w:rsidR="00340710" w:rsidRPr="00DF24B4" w:rsidRDefault="00340710" w:rsidP="00A0534C">
            <w:pPr>
              <w:pStyle w:val="Vnbnnidung20"/>
              <w:shd w:val="clear" w:color="auto" w:fill="auto"/>
              <w:spacing w:before="60" w:after="60" w:line="240" w:lineRule="auto"/>
              <w:ind w:firstLine="0"/>
              <w:rPr>
                <w:b/>
              </w:rPr>
            </w:pPr>
          </w:p>
          <w:p w:rsidR="00340710" w:rsidRDefault="00340710" w:rsidP="00A0534C">
            <w:pPr>
              <w:pStyle w:val="Vnbnnidung20"/>
              <w:shd w:val="clear" w:color="auto" w:fill="auto"/>
              <w:spacing w:before="60" w:after="60" w:line="240" w:lineRule="auto"/>
              <w:ind w:firstLine="0"/>
            </w:pPr>
            <w:r w:rsidRPr="00DF24B4">
              <w:rPr>
                <w:b/>
              </w:rPr>
              <w:t>Thiều Thị Dũng</w:t>
            </w:r>
          </w:p>
        </w:tc>
      </w:tr>
    </w:tbl>
    <w:p w:rsidR="003E2535" w:rsidRDefault="003E2535" w:rsidP="009918B5"/>
    <w:sectPr w:rsidR="003E2535" w:rsidSect="009918B5">
      <w:pgSz w:w="11907" w:h="16840" w:code="9"/>
      <w:pgMar w:top="1021" w:right="851"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34071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40710"/>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18B5"/>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1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710"/>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DefaultParagraphFont"/>
    <w:rsid w:val="00340710"/>
    <w:rPr>
      <w:rFonts w:eastAsia="Times New Roman" w:cs="Times New Roman"/>
      <w:i/>
      <w:iCs/>
      <w:color w:val="000000"/>
      <w:spacing w:val="0"/>
      <w:w w:val="100"/>
      <w:position w:val="0"/>
      <w:sz w:val="21"/>
      <w:szCs w:val="21"/>
      <w:shd w:val="clear" w:color="auto" w:fill="FFFFFF"/>
      <w:lang w:val="vi-VN" w:eastAsia="vi-VN" w:bidi="vi-VN"/>
    </w:rPr>
  </w:style>
  <w:style w:type="character" w:customStyle="1" w:styleId="Vnbnnidung2">
    <w:name w:val="Văn bản nội dung (2)_"/>
    <w:basedOn w:val="DefaultParagraphFont"/>
    <w:link w:val="Vnbnnidung20"/>
    <w:rsid w:val="00340710"/>
    <w:rPr>
      <w:rFonts w:eastAsia="Times New Roman" w:cs="Times New Roman"/>
      <w:sz w:val="26"/>
      <w:szCs w:val="26"/>
      <w:shd w:val="clear" w:color="auto" w:fill="FFFFFF"/>
    </w:rPr>
  </w:style>
  <w:style w:type="character" w:customStyle="1" w:styleId="Vnbnnidung6">
    <w:name w:val="Văn bản nội dung (6)_"/>
    <w:basedOn w:val="DefaultParagraphFont"/>
    <w:link w:val="Vnbnnidung60"/>
    <w:rsid w:val="00340710"/>
    <w:rPr>
      <w:rFonts w:eastAsia="Times New Roman" w:cs="Times New Roman"/>
      <w:i/>
      <w:iCs/>
      <w:sz w:val="26"/>
      <w:szCs w:val="26"/>
      <w:shd w:val="clear" w:color="auto" w:fill="FFFFFF"/>
    </w:rPr>
  </w:style>
  <w:style w:type="character" w:customStyle="1" w:styleId="Vnbnnidung2Innghing">
    <w:name w:val="Văn bản nội dung (2) + In nghiêng"/>
    <w:aliases w:val="Văn bản nội dung (9) + Không in nghiêng"/>
    <w:basedOn w:val="Vnbnnidung2"/>
    <w:rsid w:val="00340710"/>
    <w:rPr>
      <w:i/>
      <w:iCs/>
      <w:color w:val="000000"/>
      <w:spacing w:val="0"/>
      <w:w w:val="100"/>
      <w:position w:val="0"/>
      <w:lang w:val="vi-VN" w:eastAsia="vi-VN" w:bidi="vi-VN"/>
    </w:rPr>
  </w:style>
  <w:style w:type="character" w:customStyle="1" w:styleId="Vnbnnidung10">
    <w:name w:val="Văn bản nội dung (10)_"/>
    <w:basedOn w:val="DefaultParagraphFont"/>
    <w:link w:val="Vnbnnidung100"/>
    <w:rsid w:val="00340710"/>
    <w:rPr>
      <w:rFonts w:eastAsia="Times New Roman" w:cs="Times New Roman"/>
      <w:b/>
      <w:bCs/>
      <w:i/>
      <w:iCs/>
      <w:sz w:val="26"/>
      <w:szCs w:val="26"/>
      <w:shd w:val="clear" w:color="auto" w:fill="FFFFFF"/>
    </w:rPr>
  </w:style>
  <w:style w:type="paragraph" w:customStyle="1" w:styleId="Vnbnnidung20">
    <w:name w:val="Văn bản nội dung (2)"/>
    <w:basedOn w:val="Normal"/>
    <w:link w:val="Vnbnnidung2"/>
    <w:rsid w:val="00340710"/>
    <w:pPr>
      <w:widowControl w:val="0"/>
      <w:shd w:val="clear" w:color="auto" w:fill="FFFFFF"/>
      <w:spacing w:after="120" w:line="313" w:lineRule="exact"/>
      <w:ind w:hanging="300"/>
      <w:jc w:val="center"/>
    </w:pPr>
    <w:rPr>
      <w:color w:val="auto"/>
      <w:sz w:val="26"/>
      <w:szCs w:val="26"/>
    </w:rPr>
  </w:style>
  <w:style w:type="paragraph" w:customStyle="1" w:styleId="Vnbnnidung60">
    <w:name w:val="Văn bản nội dung (6)"/>
    <w:basedOn w:val="Normal"/>
    <w:link w:val="Vnbnnidung6"/>
    <w:rsid w:val="00340710"/>
    <w:pPr>
      <w:widowControl w:val="0"/>
      <w:shd w:val="clear" w:color="auto" w:fill="FFFFFF"/>
      <w:spacing w:before="60" w:after="60" w:line="328" w:lineRule="exact"/>
      <w:ind w:firstLine="740"/>
      <w:jc w:val="both"/>
    </w:pPr>
    <w:rPr>
      <w:i/>
      <w:iCs/>
      <w:color w:val="auto"/>
      <w:sz w:val="26"/>
      <w:szCs w:val="26"/>
    </w:rPr>
  </w:style>
  <w:style w:type="paragraph" w:customStyle="1" w:styleId="Vnbnnidung100">
    <w:name w:val="Văn bản nội dung (10)"/>
    <w:basedOn w:val="Normal"/>
    <w:link w:val="Vnbnnidung10"/>
    <w:rsid w:val="00340710"/>
    <w:pPr>
      <w:widowControl w:val="0"/>
      <w:shd w:val="clear" w:color="auto" w:fill="FFFFFF"/>
      <w:spacing w:before="180" w:after="180" w:line="0" w:lineRule="atLeast"/>
      <w:jc w:val="both"/>
    </w:pPr>
    <w:rPr>
      <w:b/>
      <w:bCs/>
      <w:i/>
      <w:iCs/>
      <w:color w:val="auto"/>
      <w:sz w:val="26"/>
      <w:szCs w:val="26"/>
    </w:rPr>
  </w:style>
  <w:style w:type="character" w:customStyle="1" w:styleId="Vnbnnidung9">
    <w:name w:val="Văn bản nội dung (9)_"/>
    <w:basedOn w:val="DefaultParagraphFont"/>
    <w:link w:val="Vnbnnidung90"/>
    <w:rsid w:val="00340710"/>
    <w:rPr>
      <w:rFonts w:eastAsia="Times New Roman" w:cs="Times New Roman"/>
      <w:i/>
      <w:iCs/>
      <w:sz w:val="26"/>
      <w:szCs w:val="26"/>
      <w:shd w:val="clear" w:color="auto" w:fill="FFFFFF"/>
    </w:rPr>
  </w:style>
  <w:style w:type="paragraph" w:customStyle="1" w:styleId="Vnbnnidung90">
    <w:name w:val="Văn bản nội dung (9)"/>
    <w:basedOn w:val="Normal"/>
    <w:link w:val="Vnbnnidung9"/>
    <w:rsid w:val="00340710"/>
    <w:pPr>
      <w:widowControl w:val="0"/>
      <w:shd w:val="clear" w:color="auto" w:fill="FFFFFF"/>
      <w:spacing w:before="240" w:line="648" w:lineRule="exact"/>
    </w:pPr>
    <w:rPr>
      <w:i/>
      <w:iCs/>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1883</Words>
  <Characters>10735</Characters>
  <Application>Microsoft Office Word</Application>
  <DocSecurity>0</DocSecurity>
  <Lines>89</Lines>
  <Paragraphs>25</Paragraphs>
  <ScaleCrop>false</ScaleCrop>
  <Company>Sky123.Org</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2018-05-10T13:32:00Z</dcterms:created>
  <dcterms:modified xsi:type="dcterms:W3CDTF">2018-05-10T13:34:00Z</dcterms:modified>
</cp:coreProperties>
</file>