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7" w:type="dxa"/>
        <w:tblInd w:w="108" w:type="dxa"/>
        <w:tblLook w:val="01E0"/>
      </w:tblPr>
      <w:tblGrid>
        <w:gridCol w:w="3380"/>
        <w:gridCol w:w="6257"/>
      </w:tblGrid>
      <w:tr w:rsidR="00840386" w:rsidRPr="007C6AF6" w:rsidTr="004E3FBB">
        <w:trPr>
          <w:trHeight w:val="884"/>
        </w:trPr>
        <w:tc>
          <w:tcPr>
            <w:tcW w:w="3380" w:type="dxa"/>
          </w:tcPr>
          <w:p w:rsidR="00840386" w:rsidRPr="00C151DC" w:rsidRDefault="00840386" w:rsidP="004E3FBB">
            <w:pPr>
              <w:jc w:val="center"/>
              <w:rPr>
                <w:b/>
                <w:color w:val="auto"/>
                <w:sz w:val="26"/>
                <w:szCs w:val="26"/>
              </w:rPr>
            </w:pPr>
            <w:r w:rsidRPr="00C151DC">
              <w:rPr>
                <w:b/>
                <w:color w:val="auto"/>
                <w:sz w:val="26"/>
                <w:szCs w:val="26"/>
              </w:rPr>
              <w:t>HỘI ĐỒNG NHÂN DÂN</w:t>
            </w:r>
          </w:p>
          <w:p w:rsidR="00840386" w:rsidRPr="00C151DC" w:rsidRDefault="00840386" w:rsidP="004E3FBB">
            <w:pPr>
              <w:jc w:val="center"/>
              <w:rPr>
                <w:b/>
                <w:color w:val="auto"/>
                <w:sz w:val="26"/>
                <w:szCs w:val="26"/>
              </w:rPr>
            </w:pPr>
            <w:r w:rsidRPr="00942320">
              <w:rPr>
                <w:color w:val="auto"/>
                <w:sz w:val="26"/>
                <w:szCs w:val="26"/>
              </w:rPr>
              <w:pict>
                <v:line id="_x0000_s1026" style="position:absolute;left:0;text-align:left;z-index:251660288" from="50.15pt,16.3pt" to="104.15pt,16.3pt"/>
              </w:pict>
            </w:r>
            <w:r w:rsidRPr="00C151DC">
              <w:rPr>
                <w:b/>
                <w:color w:val="auto"/>
                <w:sz w:val="26"/>
                <w:szCs w:val="26"/>
              </w:rPr>
              <w:t>HUYỆN SA THẦY</w:t>
            </w:r>
          </w:p>
        </w:tc>
        <w:tc>
          <w:tcPr>
            <w:tcW w:w="6257" w:type="dxa"/>
          </w:tcPr>
          <w:p w:rsidR="00840386" w:rsidRPr="00C151DC" w:rsidRDefault="00840386" w:rsidP="004E3FBB">
            <w:pPr>
              <w:jc w:val="center"/>
              <w:rPr>
                <w:b/>
                <w:color w:val="auto"/>
                <w:sz w:val="26"/>
                <w:szCs w:val="26"/>
              </w:rPr>
            </w:pPr>
            <w:r w:rsidRPr="00C151DC">
              <w:rPr>
                <w:b/>
                <w:color w:val="auto"/>
                <w:sz w:val="26"/>
                <w:szCs w:val="26"/>
              </w:rPr>
              <w:t>CỘNG HOÀ XÃ HỘI CHỦ NGHĨA VIỆT NAM</w:t>
            </w:r>
          </w:p>
          <w:p w:rsidR="00840386" w:rsidRPr="007C6AF6" w:rsidRDefault="00840386" w:rsidP="004E3FBB">
            <w:pPr>
              <w:jc w:val="center"/>
              <w:rPr>
                <w:b/>
                <w:color w:val="auto"/>
                <w:szCs w:val="28"/>
              </w:rPr>
            </w:pPr>
            <w:r w:rsidRPr="007C6AF6">
              <w:rPr>
                <w:b/>
                <w:color w:val="auto"/>
                <w:szCs w:val="28"/>
              </w:rPr>
              <w:t>Độc lập - Tự do - Hạnh phúc</w:t>
            </w:r>
          </w:p>
          <w:p w:rsidR="00840386" w:rsidRPr="007C6AF6" w:rsidRDefault="00840386" w:rsidP="004E3FBB">
            <w:pPr>
              <w:jc w:val="both"/>
              <w:rPr>
                <w:color w:val="auto"/>
                <w:szCs w:val="28"/>
              </w:rPr>
            </w:pPr>
            <w:r>
              <w:rPr>
                <w:color w:val="auto"/>
                <w:szCs w:val="28"/>
              </w:rPr>
              <w:pict>
                <v:line id="_x0000_s1027" style="position:absolute;left:0;text-align:left;z-index:251661312" from="71.25pt,2.7pt" to="233.25pt,2.7pt"/>
              </w:pict>
            </w:r>
          </w:p>
        </w:tc>
      </w:tr>
      <w:tr w:rsidR="00840386" w:rsidRPr="007C6AF6" w:rsidTr="004E3FBB">
        <w:trPr>
          <w:trHeight w:val="363"/>
        </w:trPr>
        <w:tc>
          <w:tcPr>
            <w:tcW w:w="3380" w:type="dxa"/>
          </w:tcPr>
          <w:p w:rsidR="00840386" w:rsidRPr="00783691" w:rsidRDefault="00840386" w:rsidP="004E3FBB">
            <w:pPr>
              <w:jc w:val="center"/>
              <w:rPr>
                <w:b/>
                <w:color w:val="auto"/>
                <w:sz w:val="26"/>
                <w:szCs w:val="26"/>
              </w:rPr>
            </w:pPr>
            <w:r w:rsidRPr="00783691">
              <w:rPr>
                <w:color w:val="auto"/>
                <w:sz w:val="26"/>
                <w:szCs w:val="26"/>
              </w:rPr>
              <w:t>Số: 110/BC-BPC</w:t>
            </w:r>
          </w:p>
        </w:tc>
        <w:tc>
          <w:tcPr>
            <w:tcW w:w="6257" w:type="dxa"/>
          </w:tcPr>
          <w:p w:rsidR="00840386" w:rsidRPr="00783691" w:rsidRDefault="00840386" w:rsidP="004E3FBB">
            <w:pPr>
              <w:jc w:val="center"/>
              <w:rPr>
                <w:b/>
                <w:color w:val="auto"/>
                <w:szCs w:val="28"/>
              </w:rPr>
            </w:pPr>
            <w:r w:rsidRPr="00783691">
              <w:rPr>
                <w:i/>
                <w:color w:val="auto"/>
                <w:szCs w:val="28"/>
              </w:rPr>
              <w:t>Sa Thầy, ngày 12 tháng 12 năm  2017</w:t>
            </w:r>
          </w:p>
        </w:tc>
      </w:tr>
    </w:tbl>
    <w:p w:rsidR="00840386" w:rsidRPr="007C6AF6" w:rsidRDefault="00840386" w:rsidP="00840386">
      <w:pPr>
        <w:spacing w:before="120" w:after="120"/>
        <w:jc w:val="center"/>
        <w:rPr>
          <w:b/>
          <w:color w:val="auto"/>
          <w:szCs w:val="28"/>
          <w:lang w:val="pt-BR"/>
        </w:rPr>
      </w:pPr>
    </w:p>
    <w:p w:rsidR="00840386" w:rsidRPr="007C6AF6" w:rsidRDefault="00840386" w:rsidP="00840386">
      <w:pPr>
        <w:jc w:val="center"/>
        <w:rPr>
          <w:b/>
          <w:color w:val="auto"/>
          <w:szCs w:val="28"/>
          <w:lang w:val="pt-BR"/>
        </w:rPr>
      </w:pPr>
      <w:r w:rsidRPr="007C6AF6">
        <w:rPr>
          <w:b/>
          <w:color w:val="auto"/>
          <w:szCs w:val="28"/>
          <w:lang w:val="pt-BR"/>
        </w:rPr>
        <w:t>BÁO CÁO THẨM TRA</w:t>
      </w:r>
    </w:p>
    <w:p w:rsidR="00840386" w:rsidRPr="007C6AF6" w:rsidRDefault="00840386" w:rsidP="00840386">
      <w:pPr>
        <w:jc w:val="center"/>
        <w:rPr>
          <w:b/>
          <w:color w:val="auto"/>
          <w:szCs w:val="28"/>
          <w:lang w:val="pt-BR"/>
        </w:rPr>
      </w:pPr>
      <w:r w:rsidRPr="007C6AF6">
        <w:rPr>
          <w:b/>
          <w:color w:val="auto"/>
          <w:szCs w:val="28"/>
          <w:lang w:val="pt-BR"/>
        </w:rPr>
        <w:t>Báo cáo của Ủy ban nhân dân huyện về tình hình tiếp</w:t>
      </w:r>
      <w:r w:rsidRPr="007C6AF6">
        <w:rPr>
          <w:color w:val="auto"/>
          <w:szCs w:val="28"/>
          <w:lang w:val="pt-BR"/>
        </w:rPr>
        <w:t xml:space="preserve"> </w:t>
      </w:r>
      <w:r w:rsidRPr="007C6AF6">
        <w:rPr>
          <w:b/>
          <w:color w:val="auto"/>
          <w:szCs w:val="28"/>
          <w:lang w:val="pt-BR"/>
        </w:rPr>
        <w:t>công dân;</w:t>
      </w:r>
    </w:p>
    <w:p w:rsidR="00840386" w:rsidRPr="007C6AF6" w:rsidRDefault="00840386" w:rsidP="00840386">
      <w:pPr>
        <w:jc w:val="center"/>
        <w:rPr>
          <w:b/>
          <w:color w:val="auto"/>
          <w:szCs w:val="28"/>
          <w:lang w:val="pt-BR"/>
        </w:rPr>
      </w:pPr>
      <w:r w:rsidRPr="007C6AF6">
        <w:rPr>
          <w:b/>
          <w:color w:val="auto"/>
          <w:szCs w:val="28"/>
          <w:lang w:val="pt-BR"/>
        </w:rPr>
        <w:t xml:space="preserve"> giải quyết khiếu nại, tố cáo và kiến nghị, phản ánh năm 2017;  </w:t>
      </w:r>
    </w:p>
    <w:p w:rsidR="00840386" w:rsidRPr="007C6AF6" w:rsidRDefault="00840386" w:rsidP="00840386">
      <w:pPr>
        <w:jc w:val="center"/>
        <w:rPr>
          <w:b/>
          <w:color w:val="auto"/>
          <w:szCs w:val="28"/>
          <w:lang w:val="pt-BR"/>
        </w:rPr>
      </w:pPr>
      <w:r w:rsidRPr="007C6AF6">
        <w:rPr>
          <w:b/>
          <w:color w:val="auto"/>
          <w:szCs w:val="28"/>
          <w:lang w:val="pt-BR"/>
        </w:rPr>
        <w:t xml:space="preserve"> phương hướng, nhiệm vụ năm 2018 trên địa bàn huyện Sa Thầy</w:t>
      </w:r>
    </w:p>
    <w:p w:rsidR="00840386" w:rsidRPr="007C6AF6" w:rsidRDefault="00840386" w:rsidP="00840386">
      <w:pPr>
        <w:rPr>
          <w:color w:val="auto"/>
          <w:szCs w:val="28"/>
          <w:lang w:val="pt-BR"/>
        </w:rPr>
      </w:pPr>
      <w:r>
        <w:rPr>
          <w:color w:val="auto"/>
          <w:szCs w:val="28"/>
        </w:rPr>
        <w:pict>
          <v:line id="_x0000_s1028" style="position:absolute;z-index:251662336" from="198pt,1.9pt" to="270pt,1.9pt"/>
        </w:pict>
      </w:r>
    </w:p>
    <w:p w:rsidR="00840386" w:rsidRPr="007C6AF6" w:rsidRDefault="00840386" w:rsidP="00840386">
      <w:pPr>
        <w:tabs>
          <w:tab w:val="left" w:pos="709"/>
        </w:tabs>
        <w:spacing w:before="120" w:after="120"/>
        <w:ind w:right="-23" w:firstLine="709"/>
        <w:jc w:val="both"/>
        <w:rPr>
          <w:color w:val="auto"/>
          <w:szCs w:val="28"/>
          <w:lang w:val="pt-BR"/>
        </w:rPr>
      </w:pPr>
      <w:r w:rsidRPr="007C6AF6">
        <w:rPr>
          <w:color w:val="auto"/>
          <w:szCs w:val="28"/>
          <w:lang w:val="pt-BR"/>
        </w:rPr>
        <w:tab/>
        <w:t xml:space="preserve">Thực hiện Luật Tổ chức chính quyền địa phương, Luật Hoạt động giám sát của Quốc hội và Hội đồng nhân dân, Ban </w:t>
      </w:r>
      <w:r>
        <w:rPr>
          <w:color w:val="auto"/>
          <w:szCs w:val="28"/>
          <w:lang w:val="pt-BR"/>
        </w:rPr>
        <w:t>Pháp chế</w:t>
      </w:r>
      <w:r w:rsidRPr="007C6AF6">
        <w:rPr>
          <w:color w:val="auto"/>
          <w:szCs w:val="28"/>
          <w:lang w:val="pt-BR"/>
        </w:rPr>
        <w:t xml:space="preserve"> Hội đồng nhân dân huyện tiến hành thẩm tra Báo cáo 533/BC-UBND ngày 11/12/2017 của Ủy ban nhân dân huyện về công tác tiếp công dân, giải quyết khiếu nại, tố cáo và kiến nghị, phản ánh năm 2017; phương hướng, nhiệm vụ năm 2018 trên địa bàn huyện Sa Thầy. </w:t>
      </w:r>
    </w:p>
    <w:p w:rsidR="00840386" w:rsidRPr="007C6AF6" w:rsidRDefault="00840386" w:rsidP="00840386">
      <w:pPr>
        <w:tabs>
          <w:tab w:val="left" w:pos="709"/>
        </w:tabs>
        <w:spacing w:before="120" w:after="120"/>
        <w:ind w:right="-23" w:firstLine="709"/>
        <w:jc w:val="both"/>
        <w:rPr>
          <w:color w:val="auto"/>
          <w:szCs w:val="28"/>
          <w:lang w:val="pt-BR"/>
        </w:rPr>
      </w:pPr>
      <w:r w:rsidRPr="007C6AF6">
        <w:rPr>
          <w:color w:val="auto"/>
          <w:szCs w:val="28"/>
          <w:lang w:val="pt-BR"/>
        </w:rPr>
        <w:t xml:space="preserve"> Ban </w:t>
      </w:r>
      <w:r>
        <w:rPr>
          <w:color w:val="auto"/>
          <w:szCs w:val="28"/>
          <w:lang w:val="pt-BR"/>
        </w:rPr>
        <w:t>Pháp chế</w:t>
      </w:r>
      <w:r w:rsidRPr="007C6AF6">
        <w:rPr>
          <w:color w:val="auto"/>
          <w:szCs w:val="28"/>
          <w:lang w:val="pt-BR"/>
        </w:rPr>
        <w:t xml:space="preserve"> Hội đồng nhân dân huyện báo cáo kết quả thẩm tra như sau:</w:t>
      </w:r>
    </w:p>
    <w:p w:rsidR="00840386" w:rsidRPr="007C6AF6" w:rsidRDefault="00840386" w:rsidP="00840386">
      <w:pPr>
        <w:spacing w:before="120" w:after="120"/>
        <w:ind w:firstLine="709"/>
        <w:jc w:val="both"/>
        <w:rPr>
          <w:b/>
          <w:color w:val="auto"/>
          <w:szCs w:val="28"/>
          <w:lang w:val="pt-BR"/>
        </w:rPr>
      </w:pPr>
      <w:r w:rsidRPr="007C6AF6">
        <w:rPr>
          <w:b/>
          <w:color w:val="auto"/>
          <w:szCs w:val="28"/>
          <w:lang w:val="pt-BR"/>
        </w:rPr>
        <w:t>I. Một số vấn đề chung của báo cáo</w:t>
      </w:r>
    </w:p>
    <w:p w:rsidR="00840386" w:rsidRPr="007C6AF6" w:rsidRDefault="00840386" w:rsidP="00840386">
      <w:pPr>
        <w:shd w:val="clear" w:color="auto" w:fill="FFFFFF"/>
        <w:spacing w:before="120" w:after="120"/>
        <w:ind w:firstLine="709"/>
        <w:jc w:val="both"/>
        <w:textAlignment w:val="baseline"/>
        <w:rPr>
          <w:color w:val="auto"/>
          <w:szCs w:val="28"/>
          <w:bdr w:val="none" w:sz="0" w:space="0" w:color="auto" w:frame="1"/>
          <w:lang w:val="pt-BR"/>
        </w:rPr>
      </w:pPr>
      <w:r w:rsidRPr="007C6AF6">
        <w:rPr>
          <w:color w:val="auto"/>
          <w:szCs w:val="28"/>
          <w:lang w:val="pt-BR"/>
        </w:rPr>
        <w:t xml:space="preserve">Ban </w:t>
      </w:r>
      <w:r>
        <w:rPr>
          <w:color w:val="auto"/>
          <w:szCs w:val="28"/>
          <w:lang w:val="pt-BR"/>
        </w:rPr>
        <w:t>Pháp chế</w:t>
      </w:r>
      <w:r w:rsidRPr="007C6AF6">
        <w:rPr>
          <w:color w:val="auto"/>
          <w:szCs w:val="28"/>
          <w:lang w:val="pt-BR"/>
        </w:rPr>
        <w:t xml:space="preserve"> nhận thấy, Báo cáo của Ủy ban nhân dân huyện bố cục chặt chẽ, hợp lý; nội dung báo cáo về cơ bản đã phản ánh sát thực tế tình hình tiếp công dân, giải quyết khiếu nại, tố cáo và kiến nghị, ảnh ánh năm 2017; phương hướng nhiệm vụ năm 2018 trên địa bàn huyện Sa Thầy. Báo cáo đã đi sâu phân tích đánh giá được thực trạng tình hình, nguyên nhân phát sinh khiếu nại, tố cáo, kết quả giải quyết, kiến nghị phản ánh... của các cơ quan có thẩm quyền và những tồn tại, hạn chế trong công tác tiếp công dân, xử lý đơn thư khiếu nại, tố cáo, kiến nghị, phản ánh năm 2017</w:t>
      </w:r>
      <w:r w:rsidRPr="007C6AF6">
        <w:rPr>
          <w:color w:val="auto"/>
          <w:szCs w:val="28"/>
          <w:bdr w:val="none" w:sz="0" w:space="0" w:color="auto" w:frame="1"/>
          <w:lang w:val="pt-BR"/>
        </w:rPr>
        <w:t>; từ đó rút ra những bài học kinh nghiệm và đề ra phương hướng, nhiệm vụ trọng tâm để thực hiện trong năm 2018.</w:t>
      </w:r>
    </w:p>
    <w:p w:rsidR="00840386" w:rsidRPr="007C6AF6" w:rsidRDefault="00840386" w:rsidP="00840386">
      <w:pPr>
        <w:spacing w:before="120" w:after="120"/>
        <w:ind w:firstLine="709"/>
        <w:jc w:val="both"/>
        <w:rPr>
          <w:rFonts w:eastAsia="Batang"/>
          <w:color w:val="auto"/>
          <w:szCs w:val="28"/>
          <w:lang w:val="pt-BR" w:eastAsia="ko-KR"/>
        </w:rPr>
      </w:pPr>
      <w:r w:rsidRPr="007C6AF6">
        <w:rPr>
          <w:rFonts w:eastAsia="Batang"/>
          <w:color w:val="auto"/>
          <w:szCs w:val="28"/>
          <w:lang w:val="pt-BR" w:eastAsia="ko-KR"/>
        </w:rPr>
        <w:t>Việc tiếp công dân tại trụ sở tiếp công dân của huyện được đảm bảo duy trì thường xuyên trong các ngày làm việc đối với cơ quan Thanh tra huyện và các ngày 05, 19 hàng tháng của Chủ tịch Uỷ ban nhân dân huyện theo quy định của Luật Khiếu nại, Luật Tố cáo, Luật Tiếp công dân; Quyết định 858/QĐ-TTg, ngày 14/6/2010 của Thủ tướng Chính phủ về việc phê duyệt đề án đổi mới tiếp công dân.</w:t>
      </w:r>
    </w:p>
    <w:p w:rsidR="00840386" w:rsidRPr="007C6AF6" w:rsidRDefault="00840386" w:rsidP="00840386">
      <w:pPr>
        <w:spacing w:before="120" w:after="120"/>
        <w:ind w:firstLine="709"/>
        <w:jc w:val="both"/>
        <w:rPr>
          <w:rFonts w:eastAsia="Batang"/>
          <w:b/>
          <w:color w:val="auto"/>
          <w:szCs w:val="28"/>
          <w:lang w:val="pt-BR" w:eastAsia="ko-KR"/>
        </w:rPr>
      </w:pPr>
      <w:r w:rsidRPr="007C6AF6">
        <w:rPr>
          <w:rFonts w:eastAsia="Batang"/>
          <w:b/>
          <w:color w:val="auto"/>
          <w:szCs w:val="28"/>
          <w:lang w:val="pt-BR" w:eastAsia="ko-KR"/>
        </w:rPr>
        <w:t>II. Kết quả đạt được</w:t>
      </w:r>
    </w:p>
    <w:p w:rsidR="00840386" w:rsidRPr="007C6AF6" w:rsidRDefault="00840386" w:rsidP="00840386">
      <w:pPr>
        <w:spacing w:before="120" w:after="120"/>
        <w:ind w:firstLine="709"/>
        <w:jc w:val="both"/>
        <w:rPr>
          <w:color w:val="auto"/>
          <w:szCs w:val="28"/>
          <w:lang w:val="vi-VN"/>
        </w:rPr>
      </w:pPr>
      <w:r w:rsidRPr="007C6AF6">
        <w:rPr>
          <w:color w:val="auto"/>
          <w:szCs w:val="28"/>
          <w:lang w:val="pt-BR"/>
        </w:rPr>
        <w:t>Năm 2017</w:t>
      </w:r>
      <w:r w:rsidRPr="007C6AF6">
        <w:rPr>
          <w:color w:val="auto"/>
          <w:szCs w:val="28"/>
          <w:lang w:val="vi-VN"/>
        </w:rPr>
        <w:t>, Ủy ban nhân dân huyện đã tập trung chỉ đạo các cơ quan, ban ngành, Chủ tịch Ủy ban nhân dân các xã, thị trấn đẩy mạnh công tác phổ biến, tuyên truyền pháp luật, tăng cường trách nhiệm và mối quan hệ phối hợp giữa các ngành, địa phương trong công tác tiếp công dân; giải quyết khiếu nại, tố cáo</w:t>
      </w:r>
      <w:r w:rsidRPr="007C6AF6">
        <w:rPr>
          <w:color w:val="auto"/>
          <w:szCs w:val="28"/>
          <w:lang w:val="pt-BR"/>
        </w:rPr>
        <w:t>, kiến nghị, ảnh ánh năm 2017</w:t>
      </w:r>
      <w:r w:rsidRPr="007C6AF6">
        <w:rPr>
          <w:color w:val="auto"/>
          <w:szCs w:val="28"/>
          <w:lang w:val="vi-VN"/>
        </w:rPr>
        <w:t xml:space="preserve"> của công dân, làm giảm đáng kể tình trạng khiếu nại, tố cáo phức tạp kéo dài, vượt cấp không đúng quy định, góp phần quan trọng ổn định tình hình an ninh chính trị, trật tự an toàn xã hội trên địa bàn </w:t>
      </w:r>
      <w:r w:rsidRPr="007C6AF6">
        <w:rPr>
          <w:color w:val="auto"/>
          <w:szCs w:val="28"/>
          <w:lang w:val="pt-BR"/>
        </w:rPr>
        <w:t>huyện</w:t>
      </w:r>
      <w:r w:rsidRPr="007C6AF6">
        <w:rPr>
          <w:color w:val="auto"/>
          <w:szCs w:val="28"/>
          <w:lang w:val="vi-VN"/>
        </w:rPr>
        <w:t xml:space="preserve">. </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lastRenderedPageBreak/>
        <w:t>- Công tác tiếp công dân tiếp tục có những chuyển biến rõ nét. Tại trụ sở tiếp công dân các cấp, nhất là trụ sở tiếp công dân của huyện đã duy trì nghiêm túc lịch tiếp công dân theo định kỳ hằng tháng. Người dân đến trụ sở tiếp công dân đều được tiếp đón, hướng dẫn tận tình, chu đáo; các ý kiến, kiến nghị chính đáng, hợp pháp của công dân đều được giải quyết kịp thời theo thẩm quyền hoặc hướng dẫn đến cơ quan có thẩm quyền giải quyết. Qua hoạt động tiếp công dân đã giải tỏa những vướng mắc về pháp luật, tạo sự đồng thuận trong nhân dân, góp phần làm giảm đáng kể phải đi lại nhiều lần tại trụ sở tiếp công dân do những nguyện vọng hợp pháp, chính đáng của họ không được hướng dẫn giải quyết thỏa đáng.</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xml:space="preserve">Tính đến thời điểm 30/11/2017, trên địa bàn huyện đã tiếp: 110 lượt công dân đến kiến nghị, phản ánh. Nội dung: Về lĩnh vực đất đai 79 lượt, chiếm tỷ lệ 71,8 %; lĩnh vực chính sách: 06 lượt, chiếm tỷ lệ 5,5 %; các lĩnh vực khác 25 lượt chiếm tỷ lệ 22,7 %. Nội dung tiếp công dân tập trung chủ yếu về lĩnh vực đất đai, đền bù thiệt hại sau khi thu hồi đất để xây dựng các công trình công cộng, cấp giấy chứng nhận quyền sử dụng đất và các chế độ chính sách. </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xml:space="preserve">Ủy ban nhân dân huyện cũng đã tiếp nhận và phân loại đơn thư khiếu nại, tố cáo, kiến nghị một cách hợp lý, chặt chẽ </w:t>
      </w:r>
      <w:r w:rsidRPr="007C6AF6">
        <w:rPr>
          <w:i/>
          <w:color w:val="auto"/>
          <w:szCs w:val="28"/>
          <w:lang w:val="vi-VN"/>
        </w:rPr>
        <w:t>(tiếp nhận 178 đơn: 02 đơn khiếu nại;04 đơn tố cáo, 172 đơn kiến nghị phản ánh),</w:t>
      </w:r>
      <w:r w:rsidRPr="007C6AF6">
        <w:rPr>
          <w:color w:val="auto"/>
          <w:szCs w:val="28"/>
          <w:lang w:val="vi-VN"/>
        </w:rPr>
        <w:t xml:space="preserve"> chủ yếu là về Lĩnh vực đất đai và bồi thường sau khi thu hồi đất: 114 đơn, chiếm tỷ lệ 64,04%; Chính sách xã hội: 05 đơn, chiếm tỷ lệ 2,81%; Lĩnh vực khác: 59 đơn, chiếm tỷ lệ 33,15%.</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Kết quả giải quyết đơn thư khiếu nại, tố cáo: 174 đơn; số đơn này đã được Ủy ban nhân dân huyện, UBND các xã, thị trấn và các cơ quan chức năng tiến hành thụ lý giải quyết theo đúng quy định của pháp luật. Số đơn không thuộc thẩm quyền là: 04 đơn, số đơn này đã được chuyển đến cơ quan chức năng để được giải quyết theo quy định của pháp luật.</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xml:space="preserve">Kết quả xử lý đơn thư khiếu nại, tố cáo, kiến nghị: 174 đơn,chiếm tỷ lệ97,8%. Trong đó: thuộc thẩm quyền giải quyết của UBND huyện là 89 đơn </w:t>
      </w:r>
      <w:r w:rsidRPr="007C6AF6">
        <w:rPr>
          <w:i/>
          <w:color w:val="auto"/>
          <w:szCs w:val="28"/>
          <w:lang w:val="vi-VN"/>
        </w:rPr>
        <w:t>(02 đơn khiếu nại, 04 đơn tố cáo, 83 đơn kiến nghị, phản ánh);</w:t>
      </w:r>
      <w:r w:rsidRPr="007C6AF6">
        <w:rPr>
          <w:color w:val="auto"/>
          <w:szCs w:val="28"/>
          <w:lang w:val="vi-VN"/>
        </w:rPr>
        <w:t xml:space="preserve"> thuộc thẩm quyền giải quyết của UBNDcác xã, thị trấn là 85 đơn kiến nghị.</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Số đơn không thuộc thẩm quyền là: 04 đơn kiến nghị, chiếm tỷ lệ 2,2%; số đơn này đã được chuyển đến cơ quan chức năng để được giải quyết theo quy định của pháp luật.</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Kết quả giải quyết đơn thư khiếu nại, tố cáo thuộc thẩm quyền:</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Tổng số đơn khiếu nại thuộc thẩm quyền tiếp nhận trong kỳ là 02 đơn/02 vụ việc. Số vụ việc đã giải quyết xong: 02 đơn</w:t>
      </w:r>
      <w:r w:rsidRPr="007C6AF6">
        <w:rPr>
          <w:b/>
          <w:color w:val="auto"/>
          <w:szCs w:val="28"/>
          <w:vertAlign w:val="superscript"/>
          <w:lang w:val="vi-VN"/>
        </w:rPr>
        <w:t xml:space="preserve"> </w:t>
      </w:r>
      <w:r w:rsidRPr="007C6AF6">
        <w:rPr>
          <w:color w:val="auto"/>
          <w:szCs w:val="28"/>
          <w:lang w:val="vi-VN"/>
        </w:rPr>
        <w:t xml:space="preserve"> Số vụ việc giải quyết lần 1 là 02 vụ việc.</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xml:space="preserve">- Kết quả giải quyết: Chủ tịch UBND huyện đã ban hành 02 Quyết định giải quyết khiếu nại </w:t>
      </w:r>
      <w:r w:rsidRPr="007C6AF6">
        <w:rPr>
          <w:i/>
          <w:color w:val="auto"/>
          <w:szCs w:val="28"/>
          <w:lang w:val="vi-VN"/>
        </w:rPr>
        <w:t>(lần đầu)</w:t>
      </w:r>
      <w:r w:rsidRPr="007C6AF6">
        <w:rPr>
          <w:color w:val="auto"/>
          <w:szCs w:val="28"/>
          <w:lang w:val="vi-VN"/>
        </w:rPr>
        <w:t xml:space="preserve"> đối với 02 vụ việc. </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 xml:space="preserve">- Tổng số đơn tố cáo thuộc thẩm quyền nhận được trong kỳ là 03 đơn/03 vụ việc, số đơn kỳ trước chưa giải quyết xong chuyển sang là 01 đơn/01 vụ việc. Số vụ việc đã giải quyết xong 04 đơn/04 vụ việc. </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lastRenderedPageBreak/>
        <w:t>- Kết quả giải quyết: Số vụ việc tố cáo đúng, đúng một phần 03 vụ việc, số vụ tố cáo không có cơ sở 01 vụ việc, UBND huyện đã có thông báo trả lời công dân.</w:t>
      </w:r>
    </w:p>
    <w:p w:rsidR="00840386" w:rsidRPr="007C6AF6" w:rsidRDefault="00840386" w:rsidP="00840386">
      <w:pPr>
        <w:spacing w:before="120" w:after="120"/>
        <w:ind w:firstLine="709"/>
        <w:rPr>
          <w:color w:val="auto"/>
          <w:szCs w:val="28"/>
        </w:rPr>
      </w:pPr>
    </w:p>
    <w:p w:rsidR="00840386" w:rsidRPr="007C6AF6" w:rsidRDefault="00840386" w:rsidP="00840386">
      <w:pPr>
        <w:spacing w:before="120" w:after="120"/>
        <w:ind w:firstLine="709"/>
        <w:rPr>
          <w:b/>
          <w:color w:val="auto"/>
          <w:szCs w:val="28"/>
        </w:rPr>
      </w:pPr>
      <w:r w:rsidRPr="007C6AF6">
        <w:rPr>
          <w:color w:val="auto"/>
          <w:szCs w:val="28"/>
          <w:lang w:val="vi-VN"/>
        </w:rPr>
        <w:tab/>
      </w:r>
      <w:r w:rsidRPr="007C6AF6">
        <w:rPr>
          <w:b/>
          <w:color w:val="auto"/>
          <w:szCs w:val="28"/>
          <w:lang w:val="vi-VN"/>
        </w:rPr>
        <w:t xml:space="preserve">III. </w:t>
      </w:r>
      <w:r w:rsidRPr="007C6AF6">
        <w:rPr>
          <w:b/>
          <w:color w:val="auto"/>
          <w:szCs w:val="28"/>
        </w:rPr>
        <w:t>Về tồn tại, hạn chế</w:t>
      </w:r>
    </w:p>
    <w:p w:rsidR="00840386" w:rsidRPr="007C6AF6" w:rsidRDefault="00840386" w:rsidP="00840386">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xml:space="preserve">Thống nhất với một số đánh giá về tồn tại đã nêu trong báo cáo năm 2017 về  tình hình tiếp công dân, giải quyết khiếu nại, tố cáo, kiến nghị,phản ánh, phương hướng nhiệm vụ năm 2018 của UBND huyện. </w:t>
      </w:r>
    </w:p>
    <w:p w:rsidR="00840386" w:rsidRPr="007C6AF6" w:rsidRDefault="00840386" w:rsidP="00840386">
      <w:pPr>
        <w:pStyle w:val="NormalWeb"/>
        <w:spacing w:before="120" w:after="120"/>
        <w:ind w:firstLine="709"/>
        <w:jc w:val="both"/>
        <w:rPr>
          <w:rFonts w:ascii="Times New Roman" w:hAnsi="Times New Roman"/>
          <w:b/>
          <w:color w:val="auto"/>
          <w:sz w:val="28"/>
          <w:szCs w:val="28"/>
        </w:rPr>
      </w:pPr>
      <w:r w:rsidRPr="007C6AF6">
        <w:rPr>
          <w:rFonts w:ascii="Times New Roman" w:hAnsi="Times New Roman"/>
          <w:b/>
          <w:color w:val="auto"/>
          <w:sz w:val="28"/>
          <w:szCs w:val="28"/>
          <w:lang w:val="vi-VN"/>
        </w:rPr>
        <w:t>IV.</w:t>
      </w:r>
      <w:r w:rsidRPr="007C6AF6">
        <w:rPr>
          <w:rFonts w:ascii="Times New Roman" w:hAnsi="Times New Roman"/>
          <w:b/>
          <w:color w:val="auto"/>
          <w:sz w:val="28"/>
          <w:szCs w:val="28"/>
        </w:rPr>
        <w:t xml:space="preserve"> Đề xuất, kiến nghị</w:t>
      </w:r>
    </w:p>
    <w:p w:rsidR="00840386" w:rsidRPr="007C6AF6" w:rsidRDefault="00840386" w:rsidP="00840386">
      <w:pPr>
        <w:spacing w:before="120" w:after="120"/>
        <w:ind w:firstLine="709"/>
        <w:jc w:val="both"/>
        <w:rPr>
          <w:b/>
          <w:color w:val="auto"/>
          <w:szCs w:val="28"/>
        </w:rPr>
      </w:pPr>
      <w:r w:rsidRPr="007C6AF6">
        <w:rPr>
          <w:b/>
          <w:color w:val="auto"/>
          <w:szCs w:val="28"/>
          <w:lang w:val="vi-VN"/>
        </w:rPr>
        <w:t>1. Đối với Ủy ban nhân dân huyện</w:t>
      </w:r>
    </w:p>
    <w:p w:rsidR="00840386" w:rsidRPr="007C6AF6" w:rsidRDefault="00840386" w:rsidP="00840386">
      <w:pPr>
        <w:pStyle w:val="NormalWeb"/>
        <w:spacing w:before="120" w:after="120"/>
        <w:ind w:firstLine="709"/>
        <w:jc w:val="both"/>
        <w:rPr>
          <w:rFonts w:ascii="Times New Roman" w:hAnsi="Times New Roman"/>
          <w:color w:val="auto"/>
          <w:sz w:val="28"/>
          <w:szCs w:val="28"/>
          <w:lang w:val="vi-VN"/>
        </w:rPr>
      </w:pPr>
      <w:r w:rsidRPr="007C6AF6">
        <w:rPr>
          <w:rFonts w:ascii="Times New Roman" w:hAnsi="Times New Roman"/>
          <w:color w:val="auto"/>
          <w:sz w:val="28"/>
          <w:szCs w:val="28"/>
          <w:lang w:val="vi-VN"/>
        </w:rPr>
        <w:t xml:space="preserve">- Ngoài những phương hướng, nhiệm vụ mà Báo cáo của Ủy ban nhân dân huyện đã nêu, Ban </w:t>
      </w:r>
      <w:r>
        <w:rPr>
          <w:rFonts w:ascii="Times New Roman" w:hAnsi="Times New Roman"/>
          <w:color w:val="auto"/>
          <w:sz w:val="28"/>
          <w:szCs w:val="28"/>
          <w:lang w:val="vi-VN"/>
        </w:rPr>
        <w:t>Pháp chế</w:t>
      </w:r>
      <w:r w:rsidRPr="007C6AF6">
        <w:rPr>
          <w:rFonts w:ascii="Times New Roman" w:hAnsi="Times New Roman"/>
          <w:color w:val="auto"/>
          <w:sz w:val="28"/>
          <w:szCs w:val="28"/>
          <w:lang w:val="vi-VN"/>
        </w:rPr>
        <w:t xml:space="preserve"> đề nghị Ủy ban nhân dân huyện chỉ đạo các ngành, địa phương liên quan có kế hoạch phát huy ưu điểm, khắc phục những tồn tại, hạn chế đã nêu trên báo cáo.</w:t>
      </w:r>
    </w:p>
    <w:p w:rsidR="00840386" w:rsidRPr="007C6AF6" w:rsidRDefault="00840386" w:rsidP="00840386">
      <w:pPr>
        <w:spacing w:before="120" w:after="120"/>
        <w:ind w:firstLine="709"/>
        <w:jc w:val="both"/>
        <w:rPr>
          <w:color w:val="auto"/>
          <w:szCs w:val="28"/>
          <w:lang w:val="pt-BR"/>
        </w:rPr>
      </w:pPr>
      <w:r w:rsidRPr="007C6AF6">
        <w:rPr>
          <w:color w:val="auto"/>
          <w:szCs w:val="28"/>
          <w:lang w:val="pt-BR"/>
        </w:rPr>
        <w:t>- Chỉ đạo thực hiện tốt nhiệm vụ tiếp công dân, giải quyết khiếu nại tố cáo của các cấp, ngành bảo đảm theo đúng quy định của pháp luật. Có giải pháp giải quyết dứt điểm các đơn bức xúc, kéo dài và công bố kết quả giải quyết công khai trên các phương tiện thông tin đại chúng.</w:t>
      </w:r>
    </w:p>
    <w:p w:rsidR="00840386" w:rsidRPr="007C6AF6" w:rsidRDefault="00840386" w:rsidP="00840386">
      <w:pPr>
        <w:spacing w:before="120" w:after="120"/>
        <w:ind w:firstLine="709"/>
        <w:jc w:val="both"/>
        <w:rPr>
          <w:b/>
          <w:color w:val="auto"/>
          <w:szCs w:val="28"/>
        </w:rPr>
      </w:pPr>
      <w:r w:rsidRPr="007C6AF6">
        <w:rPr>
          <w:b/>
          <w:color w:val="auto"/>
          <w:szCs w:val="28"/>
          <w:lang w:val="vi-VN"/>
        </w:rPr>
        <w:t>2. Đề nghị Hội đồng nhân dân huyện</w:t>
      </w:r>
    </w:p>
    <w:p w:rsidR="00840386" w:rsidRPr="007C6AF6" w:rsidRDefault="00840386" w:rsidP="00840386">
      <w:pPr>
        <w:spacing w:before="120" w:after="120"/>
        <w:ind w:firstLine="709"/>
        <w:jc w:val="both"/>
        <w:rPr>
          <w:color w:val="auto"/>
          <w:szCs w:val="28"/>
          <w:lang w:val="vi-VN"/>
        </w:rPr>
      </w:pPr>
      <w:r w:rsidRPr="007C6AF6">
        <w:rPr>
          <w:color w:val="auto"/>
          <w:szCs w:val="28"/>
          <w:lang w:val="vi-VN"/>
        </w:rPr>
        <w:t>Tăng cường giám sát đối với công tác tiếp dân; giải quyết đơn thư khiếu nại, tố cáo, kiến nghị, phản ánh của công dân trên địa bàn ngày càng sát sao hơn nữa.</w:t>
      </w:r>
    </w:p>
    <w:p w:rsidR="00840386" w:rsidRPr="007C6AF6" w:rsidRDefault="00840386" w:rsidP="00840386">
      <w:pPr>
        <w:spacing w:before="120" w:after="120"/>
        <w:ind w:firstLine="709"/>
        <w:jc w:val="both"/>
        <w:rPr>
          <w:color w:val="auto"/>
          <w:szCs w:val="28"/>
          <w:lang w:val="pt-BR"/>
        </w:rPr>
      </w:pPr>
      <w:r w:rsidRPr="007C6AF6">
        <w:rPr>
          <w:color w:val="auto"/>
          <w:szCs w:val="28"/>
          <w:lang w:val="pt-BR"/>
        </w:rPr>
        <w:t xml:space="preserve">Trên đây là nội dung báo cáo thẩm tra của Ban </w:t>
      </w:r>
      <w:r>
        <w:rPr>
          <w:color w:val="auto"/>
          <w:szCs w:val="28"/>
          <w:lang w:val="pt-BR"/>
        </w:rPr>
        <w:t>Pháp chế</w:t>
      </w:r>
      <w:r w:rsidRPr="007C6AF6">
        <w:rPr>
          <w:color w:val="auto"/>
          <w:szCs w:val="28"/>
          <w:lang w:val="pt-BR"/>
        </w:rPr>
        <w:t xml:space="preserve"> trình kỳ họp thứ 5 HĐND huyện khóa X, nhiệm kỳ 2016-2021, để các vị Đại biểu HĐND huyện có thêm cơ sở xem xét, thảo luận./.</w:t>
      </w:r>
    </w:p>
    <w:tbl>
      <w:tblPr>
        <w:tblW w:w="0" w:type="auto"/>
        <w:tblInd w:w="108" w:type="dxa"/>
        <w:tblLook w:val="04A0"/>
      </w:tblPr>
      <w:tblGrid>
        <w:gridCol w:w="4674"/>
        <w:gridCol w:w="4789"/>
      </w:tblGrid>
      <w:tr w:rsidR="00840386" w:rsidRPr="007C6AF6" w:rsidTr="004E3FBB">
        <w:trPr>
          <w:trHeight w:val="2166"/>
        </w:trPr>
        <w:tc>
          <w:tcPr>
            <w:tcW w:w="4739" w:type="dxa"/>
          </w:tcPr>
          <w:p w:rsidR="00840386" w:rsidRPr="00C151DC" w:rsidRDefault="00840386" w:rsidP="004E3FBB">
            <w:pPr>
              <w:rPr>
                <w:b/>
                <w:color w:val="auto"/>
                <w:sz w:val="24"/>
              </w:rPr>
            </w:pPr>
            <w:r w:rsidRPr="00C151DC">
              <w:rPr>
                <w:b/>
                <w:i/>
                <w:color w:val="auto"/>
                <w:sz w:val="24"/>
              </w:rPr>
              <w:t>Nơi nhận:</w:t>
            </w:r>
            <w:r w:rsidRPr="00C151DC">
              <w:rPr>
                <w:b/>
                <w:color w:val="auto"/>
                <w:sz w:val="24"/>
              </w:rPr>
              <w:t xml:space="preserve">   </w:t>
            </w:r>
          </w:p>
          <w:p w:rsidR="00840386" w:rsidRPr="00C151DC" w:rsidRDefault="00840386" w:rsidP="004E3FBB">
            <w:pPr>
              <w:rPr>
                <w:color w:val="auto"/>
                <w:sz w:val="22"/>
              </w:rPr>
            </w:pPr>
            <w:r w:rsidRPr="00942320">
              <w:rPr>
                <w:color w:val="auto"/>
                <w:sz w:val="22"/>
                <w:szCs w:val="22"/>
              </w:rPr>
              <w:pict>
                <v:line 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CL&#10;Ca2ZFgIAADAEAAAOAAAAAAAAAAAAAAAAAC4CAABkcnMvZTJvRG9jLnhtbFBLAQItABQABgAIAAAA&#10;IQCNAxi52wAAAAsBAAAPAAAAAAAAAAAAAAAAAHAEAABkcnMvZG93bnJldi54bWxQSwUGAAAAAAQA&#10;BADzAAAAeAUAAAAA&#10;"/>
              </w:pict>
            </w:r>
            <w:r w:rsidRPr="00C151DC">
              <w:rPr>
                <w:color w:val="auto"/>
                <w:sz w:val="22"/>
                <w:szCs w:val="22"/>
              </w:rPr>
              <w:t>- Thường trực HĐND huyện;</w:t>
            </w:r>
          </w:p>
          <w:p w:rsidR="00840386" w:rsidRPr="00C151DC" w:rsidRDefault="00840386" w:rsidP="004E3FBB">
            <w:pPr>
              <w:rPr>
                <w:color w:val="auto"/>
                <w:sz w:val="22"/>
              </w:rPr>
            </w:pPr>
            <w:r w:rsidRPr="00C151DC">
              <w:rPr>
                <w:color w:val="auto"/>
                <w:sz w:val="22"/>
                <w:szCs w:val="22"/>
              </w:rPr>
              <w:t>- UBND huyện;</w:t>
            </w:r>
          </w:p>
          <w:p w:rsidR="00840386" w:rsidRPr="00C151DC" w:rsidRDefault="00840386" w:rsidP="004E3FBB">
            <w:pPr>
              <w:rPr>
                <w:color w:val="auto"/>
                <w:sz w:val="22"/>
              </w:rPr>
            </w:pPr>
            <w:r w:rsidRPr="00C151DC">
              <w:rPr>
                <w:color w:val="auto"/>
                <w:sz w:val="22"/>
                <w:szCs w:val="22"/>
              </w:rPr>
              <w:t>- Đại biểu HĐND huyện;</w:t>
            </w:r>
          </w:p>
          <w:p w:rsidR="00840386" w:rsidRPr="00C151DC" w:rsidRDefault="00840386" w:rsidP="004E3FBB">
            <w:pPr>
              <w:rPr>
                <w:color w:val="auto"/>
                <w:sz w:val="22"/>
              </w:rPr>
            </w:pPr>
            <w:r w:rsidRPr="00C151DC">
              <w:rPr>
                <w:color w:val="auto"/>
                <w:sz w:val="22"/>
                <w:szCs w:val="22"/>
              </w:rPr>
              <w:t>- VP HĐND-UBND huyện;</w:t>
            </w:r>
          </w:p>
          <w:p w:rsidR="00840386" w:rsidRPr="00C151DC" w:rsidRDefault="00840386" w:rsidP="004E3FBB">
            <w:pPr>
              <w:rPr>
                <w:color w:val="auto"/>
                <w:sz w:val="22"/>
              </w:rPr>
            </w:pPr>
            <w:r w:rsidRPr="00C151DC">
              <w:rPr>
                <w:color w:val="auto"/>
                <w:sz w:val="22"/>
                <w:szCs w:val="22"/>
              </w:rPr>
              <w:t>- Lưu: VT, BPC.</w:t>
            </w:r>
          </w:p>
          <w:p w:rsidR="00840386" w:rsidRPr="007C6AF6" w:rsidRDefault="00840386" w:rsidP="004E3FBB">
            <w:pPr>
              <w:rPr>
                <w:color w:val="auto"/>
                <w:szCs w:val="28"/>
                <w:lang w:val="sv-SE"/>
              </w:rPr>
            </w:pPr>
            <w:r w:rsidRPr="00C151DC">
              <w:rPr>
                <w:color w:val="auto"/>
                <w:sz w:val="22"/>
                <w:szCs w:val="22"/>
              </w:rPr>
              <w:tab/>
            </w:r>
            <w:r w:rsidRPr="00C151DC">
              <w:rPr>
                <w:color w:val="auto"/>
                <w:sz w:val="22"/>
                <w:szCs w:val="22"/>
              </w:rPr>
              <w:tab/>
            </w:r>
            <w:r w:rsidRPr="00C151DC">
              <w:rPr>
                <w:color w:val="auto"/>
                <w:sz w:val="22"/>
                <w:szCs w:val="22"/>
              </w:rPr>
              <w:tab/>
            </w:r>
          </w:p>
        </w:tc>
        <w:tc>
          <w:tcPr>
            <w:tcW w:w="4847" w:type="dxa"/>
          </w:tcPr>
          <w:p w:rsidR="00840386" w:rsidRPr="007C6AF6" w:rsidRDefault="00840386" w:rsidP="004E3FBB">
            <w:pPr>
              <w:jc w:val="center"/>
              <w:rPr>
                <w:b/>
                <w:color w:val="auto"/>
                <w:szCs w:val="28"/>
              </w:rPr>
            </w:pPr>
            <w:r w:rsidRPr="007C6AF6">
              <w:rPr>
                <w:b/>
                <w:color w:val="auto"/>
                <w:szCs w:val="28"/>
              </w:rPr>
              <w:t>TM. BAN PHÁP CHẾ</w:t>
            </w:r>
          </w:p>
          <w:p w:rsidR="00840386" w:rsidRPr="007C6AF6" w:rsidRDefault="00840386" w:rsidP="004E3FBB">
            <w:pPr>
              <w:jc w:val="center"/>
              <w:rPr>
                <w:b/>
                <w:color w:val="auto"/>
                <w:szCs w:val="28"/>
              </w:rPr>
            </w:pPr>
            <w:r w:rsidRPr="007C6AF6">
              <w:rPr>
                <w:b/>
                <w:color w:val="auto"/>
                <w:szCs w:val="28"/>
              </w:rPr>
              <w:t>TRƯỞNG BAN</w:t>
            </w:r>
          </w:p>
          <w:p w:rsidR="00840386" w:rsidRPr="007C6AF6" w:rsidRDefault="00840386" w:rsidP="004E3FBB">
            <w:pPr>
              <w:jc w:val="center"/>
              <w:rPr>
                <w:b/>
                <w:color w:val="auto"/>
                <w:szCs w:val="28"/>
              </w:rPr>
            </w:pPr>
            <w:r w:rsidRPr="007C6AF6">
              <w:rPr>
                <w:b/>
                <w:color w:val="auto"/>
                <w:szCs w:val="28"/>
              </w:rPr>
              <w:t>(Đã ký)</w:t>
            </w:r>
          </w:p>
          <w:p w:rsidR="00840386" w:rsidRPr="007C6AF6" w:rsidRDefault="00840386" w:rsidP="004E3FBB">
            <w:pPr>
              <w:jc w:val="center"/>
              <w:rPr>
                <w:b/>
                <w:color w:val="auto"/>
                <w:szCs w:val="28"/>
              </w:rPr>
            </w:pPr>
          </w:p>
          <w:p w:rsidR="00840386" w:rsidRPr="007C6AF6" w:rsidRDefault="00840386" w:rsidP="004E3FBB">
            <w:pPr>
              <w:jc w:val="center"/>
              <w:rPr>
                <w:b/>
                <w:color w:val="auto"/>
                <w:szCs w:val="28"/>
              </w:rPr>
            </w:pPr>
            <w:r w:rsidRPr="007C6AF6">
              <w:rPr>
                <w:b/>
                <w:color w:val="auto"/>
                <w:szCs w:val="28"/>
              </w:rPr>
              <w:t>Nguyễn Đăng Khoa</w:t>
            </w: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compat/>
  <w:rsids>
    <w:rsidRoot w:val="0084038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0386"/>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86"/>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0386"/>
    <w:rPr>
      <w:rFonts w:ascii="Verdana" w:hAnsi="Verdana"/>
      <w:color w:val="000000"/>
      <w:sz w:val="16"/>
      <w:szCs w:val="16"/>
    </w:rPr>
  </w:style>
  <w:style w:type="character" w:customStyle="1" w:styleId="NormalWebChar">
    <w:name w:val="Normal (Web) Char"/>
    <w:link w:val="NormalWeb"/>
    <w:locked/>
    <w:rsid w:val="00840386"/>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5843</Characters>
  <Application>Microsoft Office Word</Application>
  <DocSecurity>0</DocSecurity>
  <Lines>48</Lines>
  <Paragraphs>13</Paragraphs>
  <ScaleCrop>false</ScaleCrop>
  <Company>Sky123.Org</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2018-05-27T10:44:00Z</dcterms:created>
  <dcterms:modified xsi:type="dcterms:W3CDTF">2018-05-27T10:44:00Z</dcterms:modified>
</cp:coreProperties>
</file>